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g" ContentType="image/jpg"/>
  <Override PartName="/word/footer1.xml" ContentType="application/vnd.openxmlformats-officedocument.wordprocessingml.footer+xml"/>
  <Override PartName="/word/header2.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pPr>
        <w:spacing w:before="1" w:after="0" w:line="190" w:lineRule="exact"/>
        <w:jc w:val="left"/>
        <w:rPr>
          <w:sz w:val="19"/>
          <w:szCs w:val="19"/>
        </w:rPr>
      </w:pPr>
      <w:r>
        <w:rPr>
          <w:sz w:val="19"/>
          <w:szCs w:val="19"/>
        </w:rPr>
      </w:r>
    </w:p>
    <w:p>
      <w:pPr>
        <w:spacing w:line="190" w:lineRule="exact" w:after="0"/>
        <w:jc w:val="left"/>
        <w:rPr>
          <w:sz w:val="19"/>
          <w:szCs w:val="19"/>
        </w:rPr>
        <w:sectPr>
          <w:headerReference w:type="default" r:id="rId5"/>
          <w:footerReference w:type="default" r:id="rId6"/>
          <w:type w:val="continuous"/>
          <w:pgSz w:w="11900" w:h="16820"/>
          <w:pgMar w:header="299" w:footer="1582" w:top="1040" w:bottom="1780" w:left="620" w:right="520"/>
          <w:pgNumType w:start="1"/>
        </w:sectPr>
      </w:pPr>
    </w:p>
    <w:p>
      <w:pPr>
        <w:spacing w:before="0" w:after="0" w:line="299" w:lineRule="exact"/>
        <w:ind w:left="13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产品概述</w:t>
      </w:r>
    </w:p>
    <w:p>
      <w:pPr>
        <w:spacing w:before="7" w:after="0" w:line="185" w:lineRule="auto"/>
        <w:ind w:right="457"/>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一种浅色、无焦油、表面容忍型、两罐装、环氧涂料，体积固体份高达</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82％。Interbond</w:t>
      </w:r>
      <w:r>
        <w:rPr>
          <w:rFonts w:ascii="Arial Unicode MS" w:hAnsi="Arial Unicode MS" w:cs="Arial Unicode MS" w:eastAsia="Arial Unicode MS"/>
          <w:spacing w:val="-12"/>
          <w:w w:val="100"/>
          <w:sz w:val="16"/>
          <w:szCs w:val="16"/>
        </w:rPr>
        <w:t> </w:t>
      </w:r>
      <w:r>
        <w:rPr>
          <w:rFonts w:ascii="Arial Unicode MS" w:hAnsi="Arial Unicode MS" w:cs="Arial Unicode MS" w:eastAsia="Arial Unicode MS"/>
          <w:spacing w:val="0"/>
          <w:w w:val="100"/>
          <w:sz w:val="16"/>
          <w:szCs w:val="16"/>
        </w:rPr>
        <w:t>808可以一道或两道涂层</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体系施工在经磨料喷砂、超高压水清理或机械清理的表面上。同时还可接受潮湿表面。(见“限定”一节)</w:t>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1018" w:space="1294"/>
            <w:col w:w="8448"/>
          </w:cols>
        </w:sectPr>
      </w:pPr>
    </w:p>
    <w:p>
      <w:pPr>
        <w:spacing w:before="9" w:after="0" w:line="180" w:lineRule="exact"/>
        <w:jc w:val="left"/>
        <w:rPr>
          <w:sz w:val="18"/>
          <w:szCs w:val="18"/>
        </w:rPr>
      </w:pPr>
      <w:r>
        <w:rPr>
          <w:sz w:val="18"/>
          <w:szCs w:val="18"/>
        </w:rPr>
      </w:r>
    </w:p>
    <w:p>
      <w:pPr>
        <w:spacing w:line="180" w:lineRule="exact" w:after="0"/>
        <w:jc w:val="left"/>
        <w:rPr>
          <w:sz w:val="18"/>
          <w:szCs w:val="18"/>
        </w:rPr>
        <w:sectPr>
          <w:type w:val="continuous"/>
          <w:pgSz w:w="11900" w:h="16820"/>
          <w:pgMar w:top="1040" w:bottom="1780" w:left="620" w:right="520"/>
        </w:sectPr>
      </w:pPr>
    </w:p>
    <w:p>
      <w:pPr>
        <w:spacing w:before="0" w:after="0" w:line="299" w:lineRule="exact"/>
        <w:ind w:left="137" w:right="-73"/>
        <w:jc w:val="left"/>
        <w:rPr>
          <w:rFonts w:ascii="Arial Unicode MS" w:hAnsi="Arial Unicode MS" w:cs="Arial Unicode MS" w:eastAsia="Arial Unicode MS"/>
          <w:sz w:val="22"/>
          <w:szCs w:val="22"/>
        </w:rPr>
      </w:pPr>
      <w:r>
        <w:rPr/>
        <w:pict>
          <v:group style="position:absolute;margin-left:145.850006pt;margin-top:-3.759376pt;width:414pt;height:.1pt;mso-position-horizontal-relative:page;mso-position-vertical-relative:paragraph;z-index:-392" coordorigin="2917,-75" coordsize="8280,2">
            <v:shape style="position:absolute;left:2917;top:-75;width:8280;height:2" coordorigin="2917,-75" coordsize="8280,0" path="m2917,-75l11197,-75e" filled="f" stroked="t" strokeweight="1.5pt" strokecolor="#000000">
              <v:path arrowok="t"/>
            </v:shape>
            <w10:wrap type="none"/>
          </v:group>
        </w:pict>
      </w:r>
      <w:r>
        <w:rPr>
          <w:rFonts w:ascii="Arial Unicode MS" w:hAnsi="Arial Unicode MS" w:cs="Arial Unicode MS" w:eastAsia="Arial Unicode MS"/>
          <w:spacing w:val="0"/>
          <w:w w:val="100"/>
          <w:sz w:val="22"/>
          <w:szCs w:val="22"/>
        </w:rPr>
        <w:t>预期用途</w:t>
      </w:r>
    </w:p>
    <w:p>
      <w:pPr>
        <w:spacing w:before="7" w:after="0" w:line="185" w:lineRule="auto"/>
        <w:ind w:right="2481"/>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一种高性能环氧涂料，用于压载水舱、隔离舱、空舱、潮湿区域、污水舱和原油舱。</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用于维修和保养或在航保养。</w:t>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1018" w:space="1279"/>
            <w:col w:w="8463"/>
          </w:cols>
        </w:sectPr>
      </w:pPr>
    </w:p>
    <w:p>
      <w:pPr>
        <w:spacing w:before="12" w:after="0" w:line="220" w:lineRule="exact"/>
        <w:jc w:val="left"/>
        <w:rPr>
          <w:sz w:val="22"/>
          <w:szCs w:val="22"/>
        </w:rPr>
      </w:pPr>
      <w:r>
        <w:rPr>
          <w:sz w:val="22"/>
          <w:szCs w:val="22"/>
        </w:rPr>
      </w:r>
    </w:p>
    <w:p>
      <w:pPr>
        <w:spacing w:line="220" w:lineRule="exact" w:after="0"/>
        <w:jc w:val="left"/>
        <w:rPr>
          <w:sz w:val="22"/>
          <w:szCs w:val="22"/>
        </w:rPr>
        <w:sectPr>
          <w:type w:val="continuous"/>
          <w:pgSz w:w="11900" w:h="16820"/>
          <w:pgMar w:top="1040" w:bottom="1780" w:left="620" w:right="520"/>
        </w:sectPr>
      </w:pPr>
    </w:p>
    <w:p>
      <w:pPr>
        <w:tabs>
          <w:tab w:pos="2280" w:val="left"/>
        </w:tabs>
        <w:spacing w:before="0" w:after="0" w:line="284" w:lineRule="exact"/>
        <w:ind w:left="137" w:right="-73"/>
        <w:jc w:val="left"/>
        <w:rPr>
          <w:rFonts w:ascii="Arial Unicode MS" w:hAnsi="Arial Unicode MS" w:cs="Arial Unicode MS" w:eastAsia="Arial Unicode MS"/>
          <w:sz w:val="22"/>
          <w:szCs w:val="22"/>
        </w:rPr>
      </w:pPr>
      <w:r>
        <w:rPr/>
        <w:pict>
          <v:group style="position:absolute;margin-left:145.850006pt;margin-top:-3.757076pt;width:414pt;height:.1pt;mso-position-horizontal-relative:page;mso-position-vertical-relative:paragraph;z-index:-391" coordorigin="2917,-75" coordsize="8280,2">
            <v:shape style="position:absolute;left:2917;top:-75;width:8280;height:2" coordorigin="2917,-75" coordsize="8280,0" path="m2917,-75l11197,-75e" filled="f" stroked="t" strokeweight="1.5pt" strokecolor="#000000">
              <v:path arrowok="t"/>
            </v:shape>
            <w10:wrap type="none"/>
          </v:group>
        </w:pict>
      </w:r>
      <w:r>
        <w:rPr>
          <w:rFonts w:ascii="Arial Unicode MS" w:hAnsi="Arial Unicode MS" w:cs="Arial Unicode MS" w:eastAsia="Arial Unicode MS"/>
          <w:spacing w:val="0"/>
          <w:w w:val="100"/>
          <w:position w:val="0"/>
          <w:sz w:val="22"/>
          <w:szCs w:val="22"/>
        </w:rPr>
        <w:t>产品信息</w:t>
        <w:tab/>
      </w:r>
      <w:r>
        <w:rPr>
          <w:rFonts w:ascii="Arial Unicode MS" w:hAnsi="Arial Unicode MS" w:cs="Arial Unicode MS" w:eastAsia="Arial Unicode MS"/>
          <w:spacing w:val="0"/>
          <w:w w:val="100"/>
          <w:position w:val="0"/>
          <w:sz w:val="22"/>
          <w:szCs w:val="22"/>
        </w:rPr>
        <w:t>颜色</w:t>
      </w:r>
      <w:r>
        <w:rPr>
          <w:rFonts w:ascii="Arial Unicode MS" w:hAnsi="Arial Unicode MS" w:cs="Arial Unicode MS" w:eastAsia="Arial Unicode MS"/>
          <w:spacing w:val="0"/>
          <w:w w:val="100"/>
          <w:position w:val="0"/>
          <w:sz w:val="22"/>
          <w:szCs w:val="22"/>
        </w:rPr>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KRA850-浅黄色,</w:t>
      </w:r>
      <w:r>
        <w:rPr>
          <w:rFonts w:ascii="Arial Unicode MS" w:hAnsi="Arial Unicode MS" w:cs="Arial Unicode MS" w:eastAsia="Arial Unicode MS"/>
          <w:spacing w:val="-12"/>
          <w:w w:val="100"/>
          <w:sz w:val="16"/>
          <w:szCs w:val="16"/>
        </w:rPr>
        <w:t> </w:t>
      </w:r>
      <w:r>
        <w:rPr>
          <w:rFonts w:ascii="Arial Unicode MS" w:hAnsi="Arial Unicode MS" w:cs="Arial Unicode MS" w:eastAsia="Arial Unicode MS"/>
          <w:spacing w:val="0"/>
          <w:w w:val="100"/>
          <w:sz w:val="16"/>
          <w:szCs w:val="16"/>
        </w:rPr>
        <w:t>KRA853-铝色,</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KRA859-黑色</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(仅可在美国买到。)</w:t>
      </w:r>
    </w:p>
    <w:p>
      <w:pPr>
        <w:spacing w:line="231" w:lineRule="exact"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2738" w:space="1935"/>
            <w:col w:w="6087"/>
          </w:cols>
        </w:sectPr>
      </w:pPr>
    </w:p>
    <w:p>
      <w:pPr>
        <w:tabs>
          <w:tab w:pos="4660" w:val="left"/>
        </w:tabs>
        <w:spacing w:before="33" w:after="0" w:line="240" w:lineRule="auto"/>
        <w:ind w:left="2304"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22"/>
          <w:szCs w:val="22"/>
        </w:rPr>
        <w:t>面漆/光泽</w:t>
      </w:r>
      <w:r>
        <w:rPr>
          <w:rFonts w:ascii="Arial Unicode MS" w:hAnsi="Arial Unicode MS" w:cs="Arial Unicode MS" w:eastAsia="Arial Unicode MS"/>
          <w:spacing w:val="0"/>
          <w:w w:val="100"/>
          <w:sz w:val="22"/>
          <w:szCs w:val="22"/>
        </w:rPr>
        <w:tab/>
      </w:r>
      <w:r>
        <w:rPr>
          <w:rFonts w:ascii="Arial Unicode MS" w:hAnsi="Arial Unicode MS" w:cs="Arial Unicode MS" w:eastAsia="Arial Unicode MS"/>
          <w:spacing w:val="0"/>
          <w:w w:val="100"/>
          <w:sz w:val="22"/>
          <w:szCs w:val="22"/>
        </w:rPr>
      </w:r>
      <w:r>
        <w:rPr>
          <w:rFonts w:ascii="Arial Unicode MS" w:hAnsi="Arial Unicode MS" w:cs="Arial Unicode MS" w:eastAsia="Arial Unicode MS"/>
          <w:spacing w:val="0"/>
          <w:w w:val="100"/>
          <w:position w:val="5"/>
          <w:sz w:val="16"/>
          <w:szCs w:val="16"/>
        </w:rPr>
        <w:t>半光</w:t>
      </w:r>
      <w:r>
        <w:rPr>
          <w:rFonts w:ascii="Arial Unicode MS" w:hAnsi="Arial Unicode MS" w:cs="Arial Unicode MS" w:eastAsia="Arial Unicode MS"/>
          <w:spacing w:val="0"/>
          <w:w w:val="100"/>
          <w:position w:val="0"/>
          <w:sz w:val="16"/>
          <w:szCs w:val="16"/>
        </w:rPr>
      </w:r>
    </w:p>
    <w:p>
      <w:pPr>
        <w:tabs>
          <w:tab w:pos="4660" w:val="left"/>
        </w:tabs>
        <w:spacing w:before="0" w:after="0" w:line="349"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2"/>
          <w:sz w:val="22"/>
          <w:szCs w:val="22"/>
        </w:rPr>
        <w:t>乙组份（固化剂）</w:t>
        <w:tab/>
      </w:r>
      <w:r>
        <w:rPr>
          <w:rFonts w:ascii="Arial Unicode MS" w:hAnsi="Arial Unicode MS" w:cs="Arial Unicode MS" w:eastAsia="Arial Unicode MS"/>
          <w:spacing w:val="0"/>
          <w:w w:val="100"/>
          <w:position w:val="-2"/>
          <w:sz w:val="22"/>
          <w:szCs w:val="22"/>
        </w:rPr>
      </w:r>
      <w:r>
        <w:rPr>
          <w:rFonts w:ascii="Arial Unicode MS" w:hAnsi="Arial Unicode MS" w:cs="Arial Unicode MS" w:eastAsia="Arial Unicode MS"/>
          <w:spacing w:val="0"/>
          <w:w w:val="100"/>
          <w:position w:val="3"/>
          <w:sz w:val="16"/>
          <w:szCs w:val="16"/>
        </w:rPr>
        <w:t>KRA855</w:t>
      </w:r>
      <w:r>
        <w:rPr>
          <w:rFonts w:ascii="Arial Unicode MS" w:hAnsi="Arial Unicode MS" w:cs="Arial Unicode MS" w:eastAsia="Arial Unicode MS"/>
          <w:spacing w:val="0"/>
          <w:w w:val="100"/>
          <w:position w:val="0"/>
          <w:sz w:val="16"/>
          <w:szCs w:val="16"/>
        </w:rPr>
      </w:r>
    </w:p>
    <w:p>
      <w:pPr>
        <w:spacing w:line="349" w:lineRule="exact" w:after="0"/>
        <w:jc w:val="left"/>
        <w:rPr>
          <w:rFonts w:ascii="Arial Unicode MS" w:hAnsi="Arial Unicode MS" w:cs="Arial Unicode MS" w:eastAsia="Arial Unicode MS"/>
          <w:sz w:val="16"/>
          <w:szCs w:val="16"/>
        </w:rPr>
        <w:sectPr>
          <w:type w:val="continuous"/>
          <w:pgSz w:w="11900" w:h="16820"/>
          <w:pgMar w:top="1040" w:bottom="1780" w:left="620" w:right="520"/>
        </w:sectPr>
      </w:pPr>
    </w:p>
    <w:p>
      <w:pPr>
        <w:spacing w:before="0" w:after="0" w:line="366" w:lineRule="exact"/>
        <w:ind w:right="-20"/>
        <w:jc w:val="righ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2"/>
          <w:sz w:val="22"/>
          <w:szCs w:val="22"/>
        </w:rPr>
        <w:t>体积固体份</w:t>
      </w:r>
      <w:r>
        <w:rPr>
          <w:rFonts w:ascii="Arial Unicode MS" w:hAnsi="Arial Unicode MS" w:cs="Arial Unicode MS" w:eastAsia="Arial Unicode MS"/>
          <w:spacing w:val="0"/>
          <w:w w:val="100"/>
          <w:position w:val="0"/>
          <w:sz w:val="22"/>
          <w:szCs w:val="22"/>
        </w:rPr>
      </w:r>
    </w:p>
    <w:p>
      <w:pPr>
        <w:spacing w:before="39" w:after="0" w:line="240" w:lineRule="auto"/>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82％</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3233:1998)</w:t>
      </w:r>
      <w:r>
        <w:rPr>
          <w:rFonts w:ascii="Arial Unicode MS" w:hAnsi="Arial Unicode MS" w:cs="Arial Unicode MS" w:eastAsia="Arial Unicode MS"/>
          <w:spacing w:val="0"/>
          <w:w w:val="100"/>
          <w:sz w:val="16"/>
          <w:szCs w:val="16"/>
        </w:rPr>
      </w:r>
    </w:p>
    <w:p>
      <w:pPr>
        <w:spacing w:line="240" w:lineRule="auto"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3398" w:space="1275"/>
            <w:col w:w="6087"/>
          </w:cols>
        </w:sectPr>
      </w:pPr>
    </w:p>
    <w:p>
      <w:pPr>
        <w:spacing w:before="6" w:after="0" w:line="160" w:lineRule="exact"/>
        <w:jc w:val="left"/>
        <w:rPr>
          <w:sz w:val="16"/>
          <w:szCs w:val="16"/>
        </w:rPr>
      </w:pPr>
      <w:r>
        <w:rPr>
          <w:sz w:val="16"/>
          <w:szCs w:val="16"/>
        </w:rPr>
      </w:r>
    </w:p>
    <w:p>
      <w:pPr>
        <w:tabs>
          <w:tab w:pos="4660" w:val="left"/>
        </w:tabs>
        <w:spacing w:before="0" w:after="0" w:line="28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22"/>
          <w:szCs w:val="22"/>
        </w:rPr>
        <w:t>混合比例</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甲组份：乙组份=4.00：1</w:t>
      </w:r>
      <w:r>
        <w:rPr>
          <w:rFonts w:ascii="Arial Unicode MS" w:hAnsi="Arial Unicode MS" w:cs="Arial Unicode MS" w:eastAsia="Arial Unicode MS"/>
          <w:spacing w:val="-18"/>
          <w:w w:val="100"/>
          <w:position w:val="4"/>
          <w:sz w:val="16"/>
          <w:szCs w:val="16"/>
        </w:rPr>
        <w:t> </w:t>
      </w:r>
      <w:r>
        <w:rPr>
          <w:rFonts w:ascii="Arial Unicode MS" w:hAnsi="Arial Unicode MS" w:cs="Arial Unicode MS" w:eastAsia="Arial Unicode MS"/>
          <w:spacing w:val="0"/>
          <w:w w:val="100"/>
          <w:position w:val="4"/>
          <w:sz w:val="16"/>
          <w:szCs w:val="16"/>
        </w:rPr>
        <w:t>(体积比)</w:t>
      </w:r>
      <w:r>
        <w:rPr>
          <w:rFonts w:ascii="Arial Unicode MS" w:hAnsi="Arial Unicode MS" w:cs="Arial Unicode MS" w:eastAsia="Arial Unicode MS"/>
          <w:spacing w:val="0"/>
          <w:w w:val="100"/>
          <w:position w:val="0"/>
          <w:sz w:val="16"/>
          <w:szCs w:val="16"/>
        </w:rPr>
      </w:r>
    </w:p>
    <w:p>
      <w:pPr>
        <w:spacing w:line="284" w:lineRule="exact" w:after="0"/>
        <w:jc w:val="left"/>
        <w:rPr>
          <w:rFonts w:ascii="Arial Unicode MS" w:hAnsi="Arial Unicode MS" w:cs="Arial Unicode MS" w:eastAsia="Arial Unicode MS"/>
          <w:sz w:val="16"/>
          <w:szCs w:val="16"/>
        </w:rPr>
        <w:sectPr>
          <w:type w:val="continuous"/>
          <w:pgSz w:w="11900" w:h="16820"/>
          <w:pgMar w:top="1040" w:bottom="1780" w:left="620" w:right="520"/>
        </w:sectPr>
      </w:pPr>
    </w:p>
    <w:p>
      <w:pPr>
        <w:spacing w:before="65" w:after="0" w:line="230" w:lineRule="auto"/>
        <w:ind w:left="2291" w:right="-77"/>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标准膜厚</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理论涂布率</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施工方法</w:t>
      </w:r>
    </w:p>
    <w:p>
      <w:pPr>
        <w:spacing w:before="89" w:after="0" w:line="240" w:lineRule="auto"/>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300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微米干膜厚</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(366</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微米湿膜厚)</w:t>
      </w:r>
    </w:p>
    <w:p>
      <w:pPr>
        <w:spacing w:before="24" w:after="0" w:line="370" w:lineRule="exact"/>
        <w:ind w:right="1013"/>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300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微米干膜厚时理论涂布率为</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2.73</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米²/公升，允许适当的损耗系数</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无气喷涂,</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刷涂</w:t>
      </w:r>
    </w:p>
    <w:p>
      <w:pPr>
        <w:spacing w:line="370" w:lineRule="exact"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3392" w:space="1281"/>
            <w:col w:w="6087"/>
          </w:cols>
        </w:sectPr>
      </w:pPr>
    </w:p>
    <w:p>
      <w:pPr>
        <w:tabs>
          <w:tab w:pos="4660" w:val="left"/>
        </w:tabs>
        <w:spacing w:before="0" w:after="0" w:line="365"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22"/>
          <w:szCs w:val="22"/>
        </w:rPr>
        <w:t>闪点</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甲组份</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32°C;</w:t>
      </w:r>
      <w:r>
        <w:rPr>
          <w:rFonts w:ascii="Arial Unicode MS" w:hAnsi="Arial Unicode MS" w:cs="Arial Unicode MS" w:eastAsia="Arial Unicode MS"/>
          <w:spacing w:val="-4"/>
          <w:w w:val="100"/>
          <w:position w:val="4"/>
          <w:sz w:val="16"/>
          <w:szCs w:val="16"/>
        </w:rPr>
        <w:t> </w:t>
      </w:r>
      <w:r>
        <w:rPr>
          <w:rFonts w:ascii="Arial Unicode MS" w:hAnsi="Arial Unicode MS" w:cs="Arial Unicode MS" w:eastAsia="Arial Unicode MS"/>
          <w:spacing w:val="0"/>
          <w:w w:val="100"/>
          <w:position w:val="4"/>
          <w:sz w:val="16"/>
          <w:szCs w:val="16"/>
        </w:rPr>
        <w:t>乙组份</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58°C;</w:t>
      </w:r>
      <w:r>
        <w:rPr>
          <w:rFonts w:ascii="Arial Unicode MS" w:hAnsi="Arial Unicode MS" w:cs="Arial Unicode MS" w:eastAsia="Arial Unicode MS"/>
          <w:spacing w:val="-4"/>
          <w:w w:val="100"/>
          <w:position w:val="4"/>
          <w:sz w:val="16"/>
          <w:szCs w:val="16"/>
        </w:rPr>
        <w:t> </w:t>
      </w:r>
      <w:r>
        <w:rPr>
          <w:rFonts w:ascii="Arial Unicode MS" w:hAnsi="Arial Unicode MS" w:cs="Arial Unicode MS" w:eastAsia="Arial Unicode MS"/>
          <w:spacing w:val="0"/>
          <w:w w:val="100"/>
          <w:position w:val="4"/>
          <w:sz w:val="16"/>
          <w:szCs w:val="16"/>
        </w:rPr>
        <w:t>混合后</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33°C</w:t>
      </w:r>
      <w:r>
        <w:rPr>
          <w:rFonts w:ascii="Arial Unicode MS" w:hAnsi="Arial Unicode MS" w:cs="Arial Unicode MS" w:eastAsia="Arial Unicode MS"/>
          <w:spacing w:val="0"/>
          <w:w w:val="100"/>
          <w:position w:val="0"/>
          <w:sz w:val="16"/>
          <w:szCs w:val="16"/>
        </w:rPr>
      </w:r>
    </w:p>
    <w:p>
      <w:pPr>
        <w:tabs>
          <w:tab w:pos="4660" w:val="left"/>
        </w:tabs>
        <w:spacing w:before="0" w:after="0" w:line="371" w:lineRule="exact"/>
        <w:ind w:left="2291" w:right="-20"/>
        <w:jc w:val="left"/>
        <w:rPr>
          <w:rFonts w:ascii="Arial Unicode MS" w:hAnsi="Arial Unicode MS" w:cs="Arial Unicode MS" w:eastAsia="Arial Unicode MS"/>
          <w:sz w:val="16"/>
          <w:szCs w:val="16"/>
        </w:rPr>
      </w:pPr>
      <w:r>
        <w:rPr/>
        <w:pict>
          <v:group style="position:absolute;margin-left:145.570007pt;margin-top:31.406765pt;width:414.0pt;height:.1pt;mso-position-horizontal-relative:page;mso-position-vertical-relative:paragraph;z-index:-389" coordorigin="2911,628" coordsize="8280,2">
            <v:shape style="position:absolute;left:2911;top:628;width:8280;height:2" coordorigin="2911,628" coordsize="8280,0" path="m2911,628l11191,628e" filled="f" stroked="t" strokeweight="1.5pt" strokecolor="#000000">
              <v:path arrowok="t"/>
            </v:shape>
            <w10:wrap type="none"/>
          </v:group>
        </w:pict>
      </w:r>
      <w:r>
        <w:rPr>
          <w:rFonts w:ascii="Arial Unicode MS" w:hAnsi="Arial Unicode MS" w:cs="Arial Unicode MS" w:eastAsia="Arial Unicode MS"/>
          <w:spacing w:val="0"/>
          <w:w w:val="100"/>
          <w:position w:val="0"/>
          <w:sz w:val="22"/>
          <w:szCs w:val="22"/>
        </w:rPr>
        <w:t>熟化时间</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不需要</w:t>
      </w:r>
      <w:r>
        <w:rPr>
          <w:rFonts w:ascii="Arial Unicode MS" w:hAnsi="Arial Unicode MS" w:cs="Arial Unicode MS" w:eastAsia="Arial Unicode MS"/>
          <w:spacing w:val="0"/>
          <w:w w:val="100"/>
          <w:position w:val="0"/>
          <w:sz w:val="16"/>
          <w:szCs w:val="16"/>
        </w:rPr>
      </w:r>
    </w:p>
    <w:p>
      <w:pPr>
        <w:spacing w:before="12" w:after="0" w:line="260" w:lineRule="exact"/>
        <w:jc w:val="left"/>
        <w:rPr>
          <w:sz w:val="26"/>
          <w:szCs w:val="26"/>
        </w:rPr>
      </w:pPr>
      <w:r>
        <w:rPr>
          <w:sz w:val="26"/>
          <w:szCs w:val="26"/>
        </w:rPr>
      </w:r>
    </w:p>
    <w:tbl>
      <w:tblPr>
        <w:tblW w:w="0" w:type="auto"/>
        <w:jc w:val="left"/>
        <w:tblInd w:w="2223" w:type="dxa"/>
        <w:tblLayout w:type="fixed"/>
        <w:tblCellMar>
          <w:top w:w="0" w:type="dxa"/>
          <w:left w:w="0" w:type="dxa"/>
          <w:bottom w:w="0" w:type="dxa"/>
          <w:right w:w="0" w:type="dxa"/>
        </w:tblCellMar>
        <w:tblLook w:val="01E0"/>
      </w:tblPr>
      <w:tblGrid/>
      <w:tr>
        <w:trPr>
          <w:trHeight w:val="453" w:hRule="exact"/>
        </w:trPr>
        <w:tc>
          <w:tcPr>
            <w:tcW w:w="2351" w:type="dxa"/>
            <w:tcBorders>
              <w:top w:val="nil" w:sz="6" w:space="0" w:color="auto"/>
              <w:left w:val="nil" w:sz="6" w:space="0" w:color="auto"/>
              <w:bottom w:val="nil" w:sz="6" w:space="0" w:color="auto"/>
              <w:right w:val="nil" w:sz="6" w:space="0" w:color="auto"/>
            </w:tcBorders>
          </w:tcPr>
          <w:p>
            <w:pPr>
              <w:spacing w:before="93" w:after="0" w:line="240" w:lineRule="auto"/>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干燥资料</w:t>
            </w:r>
          </w:p>
        </w:tc>
        <w:tc>
          <w:tcPr>
            <w:tcW w:w="1246" w:type="dxa"/>
            <w:tcBorders>
              <w:top w:val="single" w:sz="12" w:space="0" w:color="000000"/>
              <w:left w:val="nil" w:sz="6" w:space="0" w:color="auto"/>
              <w:bottom w:val="single" w:sz="4" w:space="0" w:color="000000"/>
              <w:right w:val="nil" w:sz="6" w:space="0" w:color="auto"/>
            </w:tcBorders>
          </w:tcPr>
          <w:p>
            <w:pPr>
              <w:spacing w:before="93" w:after="0" w:line="240" w:lineRule="auto"/>
              <w:ind w:left="397" w:right="533"/>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5°C</w:t>
            </w:r>
            <w:r>
              <w:rPr>
                <w:rFonts w:ascii="Arial Unicode MS" w:hAnsi="Arial Unicode MS" w:cs="Arial Unicode MS" w:eastAsia="Arial Unicode MS"/>
                <w:spacing w:val="0"/>
                <w:w w:val="100"/>
                <w:sz w:val="14"/>
                <w:szCs w:val="14"/>
              </w:rPr>
            </w:r>
          </w:p>
        </w:tc>
        <w:tc>
          <w:tcPr>
            <w:tcW w:w="1468" w:type="dxa"/>
            <w:tcBorders>
              <w:top w:val="single" w:sz="12" w:space="0" w:color="000000"/>
              <w:left w:val="nil" w:sz="6" w:space="0" w:color="auto"/>
              <w:bottom w:val="single" w:sz="4" w:space="0" w:color="000000"/>
              <w:right w:val="nil" w:sz="6" w:space="0" w:color="auto"/>
            </w:tcBorders>
          </w:tcPr>
          <w:p>
            <w:pPr>
              <w:spacing w:before="93" w:after="0" w:line="240" w:lineRule="auto"/>
              <w:ind w:left="554" w:right="521"/>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15°C</w:t>
            </w:r>
            <w:r>
              <w:rPr>
                <w:rFonts w:ascii="Arial Unicode MS" w:hAnsi="Arial Unicode MS" w:cs="Arial Unicode MS" w:eastAsia="Arial Unicode MS"/>
                <w:spacing w:val="0"/>
                <w:w w:val="100"/>
                <w:sz w:val="14"/>
                <w:szCs w:val="14"/>
              </w:rPr>
            </w:r>
          </w:p>
        </w:tc>
        <w:tc>
          <w:tcPr>
            <w:tcW w:w="1439" w:type="dxa"/>
            <w:tcBorders>
              <w:top w:val="single" w:sz="12" w:space="0" w:color="000000"/>
              <w:left w:val="nil" w:sz="6" w:space="0" w:color="auto"/>
              <w:bottom w:val="single" w:sz="4" w:space="0" w:color="000000"/>
              <w:right w:val="nil" w:sz="6" w:space="0" w:color="auto"/>
            </w:tcBorders>
          </w:tcPr>
          <w:p>
            <w:pPr>
              <w:spacing w:before="93" w:after="0" w:line="240" w:lineRule="auto"/>
              <w:ind w:left="526" w:right="520"/>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25°C</w:t>
            </w:r>
            <w:r>
              <w:rPr>
                <w:rFonts w:ascii="Arial Unicode MS" w:hAnsi="Arial Unicode MS" w:cs="Arial Unicode MS" w:eastAsia="Arial Unicode MS"/>
                <w:spacing w:val="0"/>
                <w:w w:val="100"/>
                <w:sz w:val="14"/>
                <w:szCs w:val="14"/>
              </w:rPr>
            </w:r>
          </w:p>
        </w:tc>
        <w:tc>
          <w:tcPr>
            <w:tcW w:w="1427" w:type="dxa"/>
            <w:tcBorders>
              <w:top w:val="single" w:sz="12" w:space="0" w:color="000000"/>
              <w:left w:val="nil" w:sz="6" w:space="0" w:color="auto"/>
              <w:bottom w:val="single" w:sz="4" w:space="0" w:color="000000"/>
              <w:right w:val="nil" w:sz="6" w:space="0" w:color="auto"/>
            </w:tcBorders>
          </w:tcPr>
          <w:p>
            <w:pPr>
              <w:spacing w:before="93" w:after="0" w:line="240" w:lineRule="auto"/>
              <w:ind w:left="527" w:right="507"/>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35°C</w:t>
            </w:r>
            <w:r>
              <w:rPr>
                <w:rFonts w:ascii="Arial Unicode MS" w:hAnsi="Arial Unicode MS" w:cs="Arial Unicode MS" w:eastAsia="Arial Unicode MS"/>
                <w:spacing w:val="0"/>
                <w:w w:val="100"/>
                <w:sz w:val="14"/>
                <w:szCs w:val="14"/>
              </w:rPr>
            </w:r>
          </w:p>
        </w:tc>
      </w:tr>
      <w:tr>
        <w:trPr>
          <w:trHeight w:val="289" w:hRule="exact"/>
        </w:trPr>
        <w:tc>
          <w:tcPr>
            <w:tcW w:w="2351" w:type="dxa"/>
            <w:tcBorders>
              <w:top w:val="nil" w:sz="6" w:space="0" w:color="auto"/>
              <w:left w:val="nil" w:sz="6" w:space="0" w:color="auto"/>
              <w:bottom w:val="nil" w:sz="6" w:space="0" w:color="auto"/>
              <w:right w:val="nil" w:sz="6" w:space="0" w:color="auto"/>
            </w:tcBorders>
          </w:tcPr>
          <w:p>
            <w:pPr>
              <w:spacing w:before="3" w:after="0" w:line="240" w:lineRule="auto"/>
              <w:ind w:left="5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表干</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[ISO</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1517:73]</w:t>
            </w:r>
            <w:r>
              <w:rPr>
                <w:rFonts w:ascii="Arial Unicode MS" w:hAnsi="Arial Unicode MS" w:cs="Arial Unicode MS" w:eastAsia="Arial Unicode MS"/>
                <w:spacing w:val="0"/>
                <w:w w:val="100"/>
                <w:sz w:val="14"/>
                <w:szCs w:val="14"/>
              </w:rPr>
            </w:r>
          </w:p>
        </w:tc>
        <w:tc>
          <w:tcPr>
            <w:tcW w:w="1246" w:type="dxa"/>
            <w:tcBorders>
              <w:top w:val="single" w:sz="4" w:space="0" w:color="000000"/>
              <w:left w:val="nil" w:sz="6" w:space="0" w:color="auto"/>
              <w:bottom w:val="nil" w:sz="6" w:space="0" w:color="auto"/>
              <w:right w:val="nil" w:sz="6" w:space="0" w:color="auto"/>
            </w:tcBorders>
          </w:tcPr>
          <w:p>
            <w:pPr>
              <w:spacing w:before="3" w:after="0" w:line="240" w:lineRule="auto"/>
              <w:ind w:left="30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68" w:type="dxa"/>
            <w:tcBorders>
              <w:top w:val="single" w:sz="4" w:space="0" w:color="000000"/>
              <w:left w:val="nil" w:sz="6" w:space="0" w:color="auto"/>
              <w:bottom w:val="nil" w:sz="6" w:space="0" w:color="auto"/>
              <w:right w:val="nil" w:sz="6" w:space="0" w:color="auto"/>
            </w:tcBorders>
          </w:tcPr>
          <w:p>
            <w:pPr>
              <w:spacing w:before="3" w:after="0" w:line="240" w:lineRule="auto"/>
              <w:ind w:left="509" w:right="48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39" w:type="dxa"/>
            <w:tcBorders>
              <w:top w:val="single" w:sz="4" w:space="0" w:color="000000"/>
              <w:left w:val="nil" w:sz="6" w:space="0" w:color="auto"/>
              <w:bottom w:val="nil" w:sz="6" w:space="0" w:color="auto"/>
              <w:right w:val="nil" w:sz="6" w:space="0" w:color="auto"/>
            </w:tcBorders>
          </w:tcPr>
          <w:p>
            <w:pPr>
              <w:spacing w:before="3" w:after="0" w:line="240" w:lineRule="auto"/>
              <w:ind w:left="45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3.5</w:t>
            </w:r>
            <w:r>
              <w:rPr>
                <w:rFonts w:ascii="Arial Unicode MS" w:hAnsi="Arial Unicode MS" w:cs="Arial Unicode MS" w:eastAsia="Arial Unicode MS"/>
                <w:spacing w:val="-2"/>
                <w:w w:val="100"/>
                <w:sz w:val="14"/>
                <w:szCs w:val="14"/>
              </w:rPr>
              <w:t> </w:t>
            </w:r>
            <w:r>
              <w:rPr>
                <w:rFonts w:ascii="Arial Unicode MS" w:hAnsi="Arial Unicode MS" w:cs="Arial Unicode MS" w:eastAsia="Arial Unicode MS"/>
                <w:spacing w:val="0"/>
                <w:w w:val="100"/>
                <w:sz w:val="14"/>
                <w:szCs w:val="14"/>
              </w:rPr>
              <w:t>小时</w:t>
            </w:r>
          </w:p>
        </w:tc>
        <w:tc>
          <w:tcPr>
            <w:tcW w:w="1427" w:type="dxa"/>
            <w:tcBorders>
              <w:top w:val="single" w:sz="4" w:space="0" w:color="000000"/>
              <w:left w:val="nil" w:sz="6" w:space="0" w:color="auto"/>
              <w:bottom w:val="nil" w:sz="6" w:space="0" w:color="auto"/>
              <w:right w:val="nil" w:sz="6" w:space="0" w:color="auto"/>
            </w:tcBorders>
          </w:tcPr>
          <w:p>
            <w:pPr>
              <w:spacing w:before="3" w:after="0" w:line="240" w:lineRule="auto"/>
              <w:ind w:left="482" w:right="46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r>
      <w:tr>
        <w:trPr>
          <w:trHeight w:val="245" w:hRule="exact"/>
        </w:trPr>
        <w:tc>
          <w:tcPr>
            <w:tcW w:w="2351" w:type="dxa"/>
            <w:tcBorders>
              <w:top w:val="nil" w:sz="6" w:space="0" w:color="auto"/>
              <w:left w:val="nil" w:sz="6" w:space="0" w:color="auto"/>
              <w:bottom w:val="nil" w:sz="6" w:space="0" w:color="auto"/>
              <w:right w:val="nil" w:sz="6" w:space="0" w:color="auto"/>
            </w:tcBorders>
          </w:tcPr>
          <w:p>
            <w:pPr>
              <w:spacing w:before="0" w:after="0" w:line="202" w:lineRule="exact"/>
              <w:ind w:left="5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硬干</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[ISO</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9117:90]</w:t>
            </w:r>
            <w:r>
              <w:rPr>
                <w:rFonts w:ascii="Arial Unicode MS" w:hAnsi="Arial Unicode MS" w:cs="Arial Unicode MS" w:eastAsia="Arial Unicode MS"/>
                <w:spacing w:val="0"/>
                <w:w w:val="100"/>
                <w:sz w:val="14"/>
                <w:szCs w:val="14"/>
              </w:rPr>
            </w:r>
          </w:p>
        </w:tc>
        <w:tc>
          <w:tcPr>
            <w:tcW w:w="1246" w:type="dxa"/>
            <w:tcBorders>
              <w:top w:val="nil" w:sz="6" w:space="0" w:color="auto"/>
              <w:left w:val="nil" w:sz="6" w:space="0" w:color="auto"/>
              <w:bottom w:val="nil" w:sz="6" w:space="0" w:color="auto"/>
              <w:right w:val="nil" w:sz="6" w:space="0" w:color="auto"/>
            </w:tcBorders>
          </w:tcPr>
          <w:p>
            <w:pPr>
              <w:spacing w:before="0" w:after="0" w:line="202" w:lineRule="exact"/>
              <w:ind w:left="30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68" w:type="dxa"/>
            <w:tcBorders>
              <w:top w:val="nil" w:sz="6" w:space="0" w:color="auto"/>
              <w:left w:val="nil" w:sz="6" w:space="0" w:color="auto"/>
              <w:bottom w:val="nil" w:sz="6" w:space="0" w:color="auto"/>
              <w:right w:val="nil" w:sz="6" w:space="0" w:color="auto"/>
            </w:tcBorders>
          </w:tcPr>
          <w:p>
            <w:pPr>
              <w:spacing w:before="0" w:after="0" w:line="202" w:lineRule="exact"/>
              <w:ind w:left="471" w:right="441"/>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39" w:type="dxa"/>
            <w:tcBorders>
              <w:top w:val="nil" w:sz="6" w:space="0" w:color="auto"/>
              <w:left w:val="nil" w:sz="6" w:space="0" w:color="auto"/>
              <w:bottom w:val="nil" w:sz="6" w:space="0" w:color="auto"/>
              <w:right w:val="nil" w:sz="6" w:space="0" w:color="auto"/>
            </w:tcBorders>
          </w:tcPr>
          <w:p>
            <w:pPr>
              <w:spacing w:before="0" w:after="0" w:line="202" w:lineRule="exact"/>
              <w:ind w:left="481" w:right="481"/>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27" w:type="dxa"/>
            <w:tcBorders>
              <w:top w:val="nil" w:sz="6" w:space="0" w:color="auto"/>
              <w:left w:val="nil" w:sz="6" w:space="0" w:color="auto"/>
              <w:bottom w:val="nil" w:sz="6" w:space="0" w:color="auto"/>
              <w:right w:val="nil" w:sz="6" w:space="0" w:color="auto"/>
            </w:tcBorders>
          </w:tcPr>
          <w:p>
            <w:pPr>
              <w:spacing w:before="0" w:after="0" w:line="202" w:lineRule="exact"/>
              <w:ind w:left="482" w:right="46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r>
      <w:tr>
        <w:trPr>
          <w:trHeight w:val="245" w:hRule="exact"/>
        </w:trPr>
        <w:tc>
          <w:tcPr>
            <w:tcW w:w="2351" w:type="dxa"/>
            <w:tcBorders>
              <w:top w:val="nil" w:sz="6" w:space="0" w:color="auto"/>
              <w:left w:val="nil" w:sz="6" w:space="0" w:color="auto"/>
              <w:bottom w:val="nil" w:sz="6" w:space="0" w:color="auto"/>
              <w:right w:val="nil" w:sz="6" w:space="0" w:color="auto"/>
            </w:tcBorders>
          </w:tcPr>
          <w:p>
            <w:pPr>
              <w:spacing w:before="0" w:after="0" w:line="202" w:lineRule="exact"/>
              <w:ind w:left="5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可踩踏时间</w:t>
            </w:r>
          </w:p>
        </w:tc>
        <w:tc>
          <w:tcPr>
            <w:tcW w:w="1246" w:type="dxa"/>
            <w:tcBorders>
              <w:top w:val="nil" w:sz="6" w:space="0" w:color="auto"/>
              <w:left w:val="nil" w:sz="6" w:space="0" w:color="auto"/>
              <w:bottom w:val="nil" w:sz="6" w:space="0" w:color="auto"/>
              <w:right w:val="nil" w:sz="6" w:space="0" w:color="auto"/>
            </w:tcBorders>
          </w:tcPr>
          <w:p>
            <w:pPr>
              <w:spacing w:before="0" w:after="0" w:line="202" w:lineRule="exact"/>
              <w:ind w:left="30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68" w:type="dxa"/>
            <w:tcBorders>
              <w:top w:val="nil" w:sz="6" w:space="0" w:color="auto"/>
              <w:left w:val="nil" w:sz="6" w:space="0" w:color="auto"/>
              <w:bottom w:val="nil" w:sz="6" w:space="0" w:color="auto"/>
              <w:right w:val="nil" w:sz="6" w:space="0" w:color="auto"/>
            </w:tcBorders>
          </w:tcPr>
          <w:p>
            <w:pPr>
              <w:spacing w:before="0" w:after="0" w:line="202" w:lineRule="exact"/>
              <w:ind w:left="471" w:right="441"/>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21</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39" w:type="dxa"/>
            <w:tcBorders>
              <w:top w:val="nil" w:sz="6" w:space="0" w:color="auto"/>
              <w:left w:val="nil" w:sz="6" w:space="0" w:color="auto"/>
              <w:bottom w:val="nil" w:sz="6" w:space="0" w:color="auto"/>
              <w:right w:val="nil" w:sz="6" w:space="0" w:color="auto"/>
            </w:tcBorders>
          </w:tcPr>
          <w:p>
            <w:pPr>
              <w:spacing w:before="0" w:after="0" w:line="202" w:lineRule="exact"/>
              <w:ind w:left="481" w:right="481"/>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27" w:type="dxa"/>
            <w:tcBorders>
              <w:top w:val="nil" w:sz="6" w:space="0" w:color="auto"/>
              <w:left w:val="nil" w:sz="6" w:space="0" w:color="auto"/>
              <w:bottom w:val="nil" w:sz="6" w:space="0" w:color="auto"/>
              <w:right w:val="nil" w:sz="6" w:space="0" w:color="auto"/>
            </w:tcBorders>
          </w:tcPr>
          <w:p>
            <w:pPr>
              <w:spacing w:before="0" w:after="0" w:line="202" w:lineRule="exact"/>
              <w:ind w:left="482" w:right="46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r>
      <w:tr>
        <w:trPr>
          <w:trHeight w:val="245" w:hRule="exact"/>
        </w:trPr>
        <w:tc>
          <w:tcPr>
            <w:tcW w:w="2351" w:type="dxa"/>
            <w:tcBorders>
              <w:top w:val="nil" w:sz="6" w:space="0" w:color="auto"/>
              <w:left w:val="nil" w:sz="6" w:space="0" w:color="auto"/>
              <w:bottom w:val="nil" w:sz="6" w:space="0" w:color="auto"/>
              <w:right w:val="nil" w:sz="6" w:space="0" w:color="auto"/>
            </w:tcBorders>
          </w:tcPr>
          <w:p>
            <w:pPr>
              <w:spacing w:before="0" w:after="0" w:line="202" w:lineRule="exact"/>
              <w:ind w:left="5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下水前</w:t>
            </w:r>
          </w:p>
        </w:tc>
        <w:tc>
          <w:tcPr>
            <w:tcW w:w="1246" w:type="dxa"/>
            <w:tcBorders>
              <w:top w:val="nil" w:sz="6" w:space="0" w:color="auto"/>
              <w:left w:val="nil" w:sz="6" w:space="0" w:color="auto"/>
              <w:bottom w:val="nil" w:sz="6" w:space="0" w:color="auto"/>
              <w:right w:val="nil" w:sz="6" w:space="0" w:color="auto"/>
            </w:tcBorders>
          </w:tcPr>
          <w:p>
            <w:pPr>
              <w:spacing w:before="0" w:after="0" w:line="202" w:lineRule="exact"/>
              <w:ind w:left="413"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1468" w:type="dxa"/>
            <w:tcBorders>
              <w:top w:val="nil" w:sz="6" w:space="0" w:color="auto"/>
              <w:left w:val="nil" w:sz="6" w:space="0" w:color="auto"/>
              <w:bottom w:val="nil" w:sz="6" w:space="0" w:color="auto"/>
              <w:right w:val="nil" w:sz="6" w:space="0" w:color="auto"/>
            </w:tcBorders>
          </w:tcPr>
          <w:p>
            <w:pPr>
              <w:spacing w:before="0" w:after="0" w:line="202" w:lineRule="exact"/>
              <w:ind w:left="576" w:right="554"/>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天</w:t>
            </w:r>
          </w:p>
        </w:tc>
        <w:tc>
          <w:tcPr>
            <w:tcW w:w="1439" w:type="dxa"/>
            <w:tcBorders>
              <w:top w:val="nil" w:sz="6" w:space="0" w:color="auto"/>
              <w:left w:val="nil" w:sz="6" w:space="0" w:color="auto"/>
              <w:bottom w:val="nil" w:sz="6" w:space="0" w:color="auto"/>
              <w:right w:val="nil" w:sz="6" w:space="0" w:color="auto"/>
            </w:tcBorders>
          </w:tcPr>
          <w:p>
            <w:pPr>
              <w:spacing w:before="0" w:after="0" w:line="202" w:lineRule="exact"/>
              <w:ind w:left="47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27" w:type="dxa"/>
            <w:tcBorders>
              <w:top w:val="nil" w:sz="6" w:space="0" w:color="auto"/>
              <w:left w:val="nil" w:sz="6" w:space="0" w:color="auto"/>
              <w:bottom w:val="nil" w:sz="6" w:space="0" w:color="auto"/>
              <w:right w:val="nil" w:sz="6" w:space="0" w:color="auto"/>
            </w:tcBorders>
          </w:tcPr>
          <w:p>
            <w:pPr>
              <w:spacing w:before="0" w:after="0" w:line="202" w:lineRule="exact"/>
              <w:ind w:left="47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r>
      <w:tr>
        <w:trPr>
          <w:trHeight w:val="292" w:hRule="exact"/>
        </w:trPr>
        <w:tc>
          <w:tcPr>
            <w:tcW w:w="2351" w:type="dxa"/>
            <w:tcBorders>
              <w:top w:val="nil" w:sz="6" w:space="0" w:color="auto"/>
              <w:left w:val="nil" w:sz="6" w:space="0" w:color="auto"/>
              <w:bottom w:val="nil" w:sz="6" w:space="0" w:color="auto"/>
              <w:right w:val="nil" w:sz="6" w:space="0" w:color="auto"/>
            </w:tcBorders>
          </w:tcPr>
          <w:p>
            <w:pPr>
              <w:spacing w:before="0" w:after="0" w:line="202" w:lineRule="exact"/>
              <w:ind w:left="5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凝胶时间</w:t>
            </w:r>
          </w:p>
        </w:tc>
        <w:tc>
          <w:tcPr>
            <w:tcW w:w="1246" w:type="dxa"/>
            <w:tcBorders>
              <w:top w:val="nil" w:sz="6" w:space="0" w:color="auto"/>
              <w:left w:val="nil" w:sz="6" w:space="0" w:color="auto"/>
              <w:bottom w:val="nil" w:sz="6" w:space="0" w:color="auto"/>
              <w:right w:val="nil" w:sz="6" w:space="0" w:color="auto"/>
            </w:tcBorders>
          </w:tcPr>
          <w:p>
            <w:pPr>
              <w:spacing w:before="0" w:after="0" w:line="202" w:lineRule="exact"/>
              <w:ind w:left="34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68" w:type="dxa"/>
            <w:tcBorders>
              <w:top w:val="nil" w:sz="6" w:space="0" w:color="auto"/>
              <w:left w:val="nil" w:sz="6" w:space="0" w:color="auto"/>
              <w:bottom w:val="nil" w:sz="6" w:space="0" w:color="auto"/>
              <w:right w:val="nil" w:sz="6" w:space="0" w:color="auto"/>
            </w:tcBorders>
          </w:tcPr>
          <w:p>
            <w:pPr>
              <w:spacing w:before="0" w:after="0" w:line="202" w:lineRule="exact"/>
              <w:ind w:left="46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100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分钟</w:t>
            </w:r>
          </w:p>
        </w:tc>
        <w:tc>
          <w:tcPr>
            <w:tcW w:w="1439" w:type="dxa"/>
            <w:tcBorders>
              <w:top w:val="nil" w:sz="6" w:space="0" w:color="auto"/>
              <w:left w:val="nil" w:sz="6" w:space="0" w:color="auto"/>
              <w:bottom w:val="nil" w:sz="6" w:space="0" w:color="auto"/>
              <w:right w:val="nil" w:sz="6" w:space="0" w:color="auto"/>
            </w:tcBorders>
          </w:tcPr>
          <w:p>
            <w:pPr>
              <w:spacing w:before="0" w:after="0" w:line="202" w:lineRule="exact"/>
              <w:ind w:left="47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75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分钟</w:t>
            </w:r>
          </w:p>
        </w:tc>
        <w:tc>
          <w:tcPr>
            <w:tcW w:w="1427" w:type="dxa"/>
            <w:tcBorders>
              <w:top w:val="nil" w:sz="6" w:space="0" w:color="auto"/>
              <w:left w:val="nil" w:sz="6" w:space="0" w:color="auto"/>
              <w:bottom w:val="nil" w:sz="6" w:space="0" w:color="auto"/>
              <w:right w:val="nil" w:sz="6" w:space="0" w:color="auto"/>
            </w:tcBorders>
          </w:tcPr>
          <w:p>
            <w:pPr>
              <w:spacing w:before="0" w:after="0" w:line="202" w:lineRule="exact"/>
              <w:ind w:left="47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分钟</w:t>
            </w:r>
          </w:p>
        </w:tc>
      </w:tr>
    </w:tbl>
    <w:p>
      <w:pPr>
        <w:tabs>
          <w:tab w:pos="6520" w:val="left"/>
        </w:tabs>
        <w:spacing w:before="55" w:after="0" w:line="374" w:lineRule="exact"/>
        <w:ind w:left="2291"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复涂数据－见“限定”一节</w:t>
        <w:tab/>
      </w:r>
      <w:r>
        <w:rPr>
          <w:rFonts w:ascii="Arial Unicode MS" w:hAnsi="Arial Unicode MS" w:cs="Arial Unicode MS" w:eastAsia="Arial Unicode MS"/>
          <w:spacing w:val="0"/>
          <w:w w:val="100"/>
          <w:position w:val="-1"/>
          <w:sz w:val="22"/>
          <w:szCs w:val="22"/>
        </w:rPr>
        <w:t>底材温度</w:t>
      </w:r>
      <w:r>
        <w:rPr>
          <w:rFonts w:ascii="Arial Unicode MS" w:hAnsi="Arial Unicode MS" w:cs="Arial Unicode MS" w:eastAsia="Arial Unicode MS"/>
          <w:spacing w:val="0"/>
          <w:w w:val="100"/>
          <w:position w:val="0"/>
          <w:sz w:val="22"/>
          <w:szCs w:val="22"/>
        </w:rPr>
      </w:r>
    </w:p>
    <w:p>
      <w:pPr>
        <w:tabs>
          <w:tab w:pos="6400" w:val="left"/>
          <w:tab w:pos="7840" w:val="left"/>
          <w:tab w:pos="9280" w:val="left"/>
        </w:tabs>
        <w:spacing w:before="0" w:after="0" w:line="133" w:lineRule="exact"/>
        <w:ind w:left="5002"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15°C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25°C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35°C</w:t>
      </w:r>
      <w:r>
        <w:rPr>
          <w:rFonts w:ascii="Arial Unicode MS" w:hAnsi="Arial Unicode MS" w:cs="Arial Unicode MS" w:eastAsia="Arial Unicode MS"/>
          <w:spacing w:val="0"/>
          <w:w w:val="100"/>
          <w:sz w:val="14"/>
          <w:szCs w:val="14"/>
        </w:rPr>
      </w:r>
    </w:p>
    <w:p>
      <w:pPr>
        <w:spacing w:line="133" w:lineRule="exact" w:after="0"/>
        <w:jc w:val="left"/>
        <w:rPr>
          <w:rFonts w:ascii="Arial Unicode MS" w:hAnsi="Arial Unicode MS" w:cs="Arial Unicode MS" w:eastAsia="Arial Unicode MS"/>
          <w:sz w:val="14"/>
          <w:szCs w:val="14"/>
        </w:rPr>
        <w:sectPr>
          <w:type w:val="continuous"/>
          <w:pgSz w:w="11900" w:h="16820"/>
          <w:pgMar w:top="1040" w:bottom="1780" w:left="620" w:right="520"/>
        </w:sectPr>
      </w:pPr>
    </w:p>
    <w:p>
      <w:pPr>
        <w:spacing w:before="66" w:after="0" w:line="233" w:lineRule="exact"/>
        <w:ind w:right="-20"/>
        <w:jc w:val="righ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复涂下列产品时</w:t>
      </w:r>
      <w:r>
        <w:rPr>
          <w:rFonts w:ascii="Arial Unicode MS" w:hAnsi="Arial Unicode MS" w:cs="Arial Unicode MS" w:eastAsia="Arial Unicode MS"/>
          <w:spacing w:val="0"/>
          <w:w w:val="100"/>
          <w:position w:val="0"/>
          <w:sz w:val="14"/>
          <w:szCs w:val="14"/>
        </w:rPr>
      </w:r>
    </w:p>
    <w:p>
      <w:pPr>
        <w:tabs>
          <w:tab w:pos="720" w:val="left"/>
          <w:tab w:pos="1440" w:val="left"/>
          <w:tab w:pos="2160" w:val="left"/>
          <w:tab w:pos="2880" w:val="left"/>
          <w:tab w:pos="3600" w:val="left"/>
          <w:tab w:pos="4320" w:val="left"/>
          <w:tab w:pos="5040" w:val="left"/>
        </w:tabs>
        <w:spacing w:before="37" w:after="0" w:line="240" w:lineRule="auto"/>
        <w:ind w:right="-20"/>
        <w:jc w:val="left"/>
        <w:rPr>
          <w:rFonts w:ascii="Arial Unicode MS" w:hAnsi="Arial Unicode MS" w:cs="Arial Unicode MS" w:eastAsia="Arial Unicode MS"/>
          <w:sz w:val="14"/>
          <w:szCs w:val="14"/>
        </w:rPr>
      </w:pPr>
      <w:r>
        <w:rPr/>
        <w:br w:type="column"/>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tab/>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tab/>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tab/>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r>
    </w:p>
    <w:p>
      <w:pPr>
        <w:spacing w:line="240" w:lineRule="auto" w:after="0"/>
        <w:jc w:val="left"/>
        <w:rPr>
          <w:rFonts w:ascii="Arial Unicode MS" w:hAnsi="Arial Unicode MS" w:cs="Arial Unicode MS" w:eastAsia="Arial Unicode MS"/>
          <w:sz w:val="14"/>
          <w:szCs w:val="14"/>
        </w:rPr>
        <w:sectPr>
          <w:type w:val="continuous"/>
          <w:pgSz w:w="11900" w:h="16820"/>
          <w:pgMar w:top="1040" w:bottom="1780" w:left="620" w:right="520"/>
          <w:cols w:num="2" w:equalWidth="0">
            <w:col w:w="3215" w:space="1404"/>
            <w:col w:w="6141"/>
          </w:cols>
        </w:sectPr>
      </w:pPr>
    </w:p>
    <w:p>
      <w:pPr>
        <w:spacing w:before="0" w:after="0" w:line="220" w:lineRule="exact"/>
        <w:jc w:val="left"/>
        <w:rPr>
          <w:sz w:val="22"/>
          <w:szCs w:val="22"/>
        </w:rPr>
      </w:pPr>
      <w:r>
        <w:rPr>
          <w:sz w:val="22"/>
          <w:szCs w:val="22"/>
        </w:rPr>
      </w:r>
    </w:p>
    <w:p>
      <w:pPr>
        <w:tabs>
          <w:tab w:pos="4520" w:val="left"/>
          <w:tab w:pos="5300" w:val="left"/>
          <w:tab w:pos="5960" w:val="left"/>
          <w:tab w:pos="6740" w:val="left"/>
          <w:tab w:pos="7420" w:val="left"/>
          <w:tab w:pos="8220" w:val="left"/>
          <w:tab w:pos="8860" w:val="left"/>
          <w:tab w:pos="9660" w:val="left"/>
        </w:tabs>
        <w:spacing w:before="0" w:after="0" w:line="200" w:lineRule="exact"/>
        <w:ind w:left="2235" w:right="-20"/>
        <w:jc w:val="left"/>
        <w:rPr>
          <w:rFonts w:ascii="Arial Unicode MS" w:hAnsi="Arial Unicode MS" w:cs="Arial Unicode MS" w:eastAsia="Arial Unicode MS"/>
          <w:sz w:val="14"/>
          <w:szCs w:val="14"/>
        </w:rPr>
      </w:pPr>
      <w:r>
        <w:rPr/>
        <w:pict>
          <v:group style="position:absolute;margin-left:259.730011pt;margin-top:-1.936116pt;width:274.5pt;height:.1pt;mso-position-horizontal-relative:page;mso-position-vertical-relative:paragraph;z-index:-388" coordorigin="5195,-39" coordsize="5490,2">
            <v:shape style="position:absolute;left:5195;top:-39;width:5490;height:2" coordorigin="5195,-39" coordsize="5490,0" path="m5195,-39l10685,-39e" filled="f" stroked="t" strokeweight=".5pt" strokecolor="#000000">
              <v:path arrowok="t"/>
            </v:shape>
            <w10:wrap type="none"/>
          </v:group>
        </w:pict>
      </w:r>
      <w:r>
        <w:rPr>
          <w:rFonts w:ascii="Arial Unicode MS" w:hAnsi="Arial Unicode MS" w:cs="Arial Unicode MS" w:eastAsia="Arial Unicode MS"/>
          <w:spacing w:val="0"/>
          <w:w w:val="100"/>
          <w:position w:val="0"/>
          <w:sz w:val="14"/>
          <w:szCs w:val="14"/>
        </w:rPr>
        <w:t>Interbond</w:t>
      </w:r>
      <w:r>
        <w:rPr>
          <w:rFonts w:ascii="Arial Unicode MS" w:hAnsi="Arial Unicode MS" w:cs="Arial Unicode MS" w:eastAsia="Arial Unicode MS"/>
          <w:spacing w:val="-6"/>
          <w:w w:val="100"/>
          <w:position w:val="0"/>
          <w:sz w:val="14"/>
          <w:szCs w:val="14"/>
        </w:rPr>
        <w:t> </w:t>
      </w:r>
      <w:r>
        <w:rPr>
          <w:rFonts w:ascii="Arial Unicode MS" w:hAnsi="Arial Unicode MS" w:cs="Arial Unicode MS" w:eastAsia="Arial Unicode MS"/>
          <w:spacing w:val="0"/>
          <w:w w:val="100"/>
          <w:position w:val="0"/>
          <w:sz w:val="14"/>
          <w:szCs w:val="14"/>
        </w:rPr>
        <w:t>808</w:t>
        <w:tab/>
      </w:r>
      <w:r>
        <w:rPr>
          <w:rFonts w:ascii="Arial Unicode MS" w:hAnsi="Arial Unicode MS" w:cs="Arial Unicode MS" w:eastAsia="Arial Unicode MS"/>
          <w:spacing w:val="0"/>
          <w:w w:val="100"/>
          <w:position w:val="0"/>
          <w:sz w:val="14"/>
          <w:szCs w:val="14"/>
        </w:rPr>
        <w:t>48</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小时</w:t>
        <w:tab/>
      </w:r>
      <w:r>
        <w:rPr>
          <w:rFonts w:ascii="Arial Unicode MS" w:hAnsi="Arial Unicode MS" w:cs="Arial Unicode MS" w:eastAsia="Arial Unicode MS"/>
          <w:spacing w:val="0"/>
          <w:w w:val="100"/>
          <w:position w:val="0"/>
          <w:sz w:val="14"/>
          <w:szCs w:val="14"/>
        </w:rPr>
        <w:t>14</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天</w:t>
        <w:tab/>
      </w:r>
      <w:r>
        <w:rPr>
          <w:rFonts w:ascii="Arial Unicode MS" w:hAnsi="Arial Unicode MS" w:cs="Arial Unicode MS" w:eastAsia="Arial Unicode MS"/>
          <w:spacing w:val="0"/>
          <w:w w:val="100"/>
          <w:position w:val="0"/>
          <w:sz w:val="14"/>
          <w:szCs w:val="14"/>
        </w:rPr>
        <w:t>30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小时</w:t>
        <w:tab/>
      </w:r>
      <w:r>
        <w:rPr>
          <w:rFonts w:ascii="Arial Unicode MS" w:hAnsi="Arial Unicode MS" w:cs="Arial Unicode MS" w:eastAsia="Arial Unicode MS"/>
          <w:spacing w:val="0"/>
          <w:w w:val="100"/>
          <w:position w:val="0"/>
          <w:sz w:val="14"/>
          <w:szCs w:val="14"/>
        </w:rPr>
        <w:t>10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天</w:t>
        <w:tab/>
      </w:r>
      <w:r>
        <w:rPr>
          <w:rFonts w:ascii="Arial Unicode MS" w:hAnsi="Arial Unicode MS" w:cs="Arial Unicode MS" w:eastAsia="Arial Unicode MS"/>
          <w:spacing w:val="0"/>
          <w:w w:val="100"/>
          <w:position w:val="0"/>
          <w:sz w:val="14"/>
          <w:szCs w:val="14"/>
        </w:rPr>
        <w:t>12</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小时</w:t>
        <w:tab/>
      </w:r>
      <w:r>
        <w:rPr>
          <w:rFonts w:ascii="Arial Unicode MS" w:hAnsi="Arial Unicode MS" w:cs="Arial Unicode MS" w:eastAsia="Arial Unicode MS"/>
          <w:spacing w:val="0"/>
          <w:w w:val="100"/>
          <w:position w:val="0"/>
          <w:sz w:val="14"/>
          <w:szCs w:val="14"/>
        </w:rPr>
        <w:t>7</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天</w:t>
        <w:tab/>
      </w:r>
      <w:r>
        <w:rPr>
          <w:rFonts w:ascii="Arial Unicode MS" w:hAnsi="Arial Unicode MS" w:cs="Arial Unicode MS" w:eastAsia="Arial Unicode MS"/>
          <w:spacing w:val="0"/>
          <w:w w:val="100"/>
          <w:position w:val="0"/>
          <w:sz w:val="14"/>
          <w:szCs w:val="14"/>
        </w:rPr>
        <w:t>8</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小时</w:t>
        <w:tab/>
      </w:r>
      <w:r>
        <w:rPr>
          <w:rFonts w:ascii="Arial Unicode MS" w:hAnsi="Arial Unicode MS" w:cs="Arial Unicode MS" w:eastAsia="Arial Unicode MS"/>
          <w:spacing w:val="0"/>
          <w:w w:val="100"/>
          <w:position w:val="0"/>
          <w:sz w:val="14"/>
          <w:szCs w:val="14"/>
        </w:rPr>
        <w:t>5</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天</w:t>
      </w:r>
      <w:r>
        <w:rPr>
          <w:rFonts w:ascii="Arial Unicode MS" w:hAnsi="Arial Unicode MS" w:cs="Arial Unicode MS" w:eastAsia="Arial Unicode MS"/>
          <w:spacing w:val="0"/>
          <w:w w:val="100"/>
          <w:position w:val="0"/>
          <w:sz w:val="14"/>
          <w:szCs w:val="14"/>
        </w:rPr>
      </w:r>
    </w:p>
    <w:p>
      <w:pPr>
        <w:spacing w:before="0" w:after="0" w:line="200" w:lineRule="exact"/>
        <w:jc w:val="left"/>
        <w:rPr>
          <w:sz w:val="20"/>
          <w:szCs w:val="20"/>
        </w:rPr>
      </w:pPr>
      <w:r>
        <w:rPr>
          <w:sz w:val="20"/>
          <w:szCs w:val="20"/>
        </w:rPr>
      </w:r>
    </w:p>
    <w:p>
      <w:pPr>
        <w:spacing w:before="7" w:after="0" w:line="280" w:lineRule="exact"/>
        <w:jc w:val="left"/>
        <w:rPr>
          <w:sz w:val="28"/>
          <w:szCs w:val="28"/>
        </w:rPr>
      </w:pPr>
      <w:r>
        <w:rPr>
          <w:sz w:val="28"/>
          <w:szCs w:val="28"/>
        </w:rPr>
      </w:r>
    </w:p>
    <w:p>
      <w:pPr>
        <w:spacing w:line="280" w:lineRule="exact" w:after="0"/>
        <w:jc w:val="left"/>
        <w:rPr>
          <w:sz w:val="28"/>
          <w:szCs w:val="28"/>
        </w:rPr>
        <w:sectPr>
          <w:type w:val="continuous"/>
          <w:pgSz w:w="11900" w:h="16820"/>
          <w:pgMar w:top="1040" w:bottom="1780" w:left="620" w:right="520"/>
        </w:sectPr>
      </w:pPr>
    </w:p>
    <w:p>
      <w:pPr>
        <w:tabs>
          <w:tab w:pos="2380" w:val="left"/>
        </w:tabs>
        <w:spacing w:before="0" w:after="0" w:line="299" w:lineRule="exact"/>
        <w:ind w:left="137" w:right="-73"/>
        <w:jc w:val="left"/>
        <w:rPr>
          <w:rFonts w:ascii="Arial Unicode MS" w:hAnsi="Arial Unicode MS" w:cs="Arial Unicode MS" w:eastAsia="Arial Unicode MS"/>
          <w:sz w:val="22"/>
          <w:szCs w:val="22"/>
        </w:rPr>
      </w:pPr>
      <w:r>
        <w:rPr/>
        <w:pict>
          <v:group style="position:absolute;margin-left:144.770004pt;margin-top:-4.645376pt;width:411.75pt;height:.140pt;mso-position-horizontal-relative:page;mso-position-vertical-relative:paragraph;z-index:-390" coordorigin="2895,-93" coordsize="8235,3">
            <v:shape style="position:absolute;left:2895;top:-93;width:8235;height:3" coordorigin="2895,-93" coordsize="8235,3" path="m2895,-93l11130,-90e" filled="f" stroked="t" strokeweight="1.5pt" strokecolor="#000000">
              <v:path arrowok="t"/>
            </v:shape>
            <w10:wrap type="none"/>
          </v:group>
        </w:pict>
      </w:r>
      <w:r>
        <w:rPr/>
        <w:pict>
          <v:group style="position:absolute;margin-left:37.849998pt;margin-top:2.504624pt;width:525.6pt;height:43.5924pt;mso-position-horizontal-relative:page;mso-position-vertical-relative:paragraph;z-index:-387" coordorigin="757,50" coordsize="10512,872">
            <v:shape style="position:absolute;left:757;top:50;width:10512;height:872" coordorigin="757,50" coordsize="10512,872" path="m757,922l11269,922,11269,50,757,50,757,922xe" filled="t" fillcolor="#D2D2D2" stroked="f">
              <v:path arrowok="t"/>
              <v:fill/>
            </v:shape>
            <w10:wrap type="none"/>
          </v:group>
        </w:pict>
      </w:r>
      <w:r>
        <w:rPr>
          <w:rFonts w:ascii="Arial Unicode MS" w:hAnsi="Arial Unicode MS" w:cs="Arial Unicode MS" w:eastAsia="Arial Unicode MS"/>
          <w:spacing w:val="0"/>
          <w:w w:val="100"/>
          <w:sz w:val="22"/>
          <w:szCs w:val="22"/>
        </w:rPr>
        <w:t>法定数据</w:t>
        <w:tab/>
      </w:r>
      <w:r>
        <w:rPr>
          <w:rFonts w:ascii="Arial Unicode MS" w:hAnsi="Arial Unicode MS" w:cs="Arial Unicode MS" w:eastAsia="Arial Unicode MS"/>
          <w:spacing w:val="0"/>
          <w:w w:val="100"/>
          <w:sz w:val="22"/>
          <w:szCs w:val="22"/>
        </w:rPr>
        <w:t>挥发性有机化合物</w:t>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220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克/公升(原装涂料)</w:t>
      </w:r>
      <w:r>
        <w:rPr>
          <w:rFonts w:ascii="Arial Unicode MS" w:hAnsi="Arial Unicode MS" w:cs="Arial Unicode MS" w:eastAsia="Arial Unicode MS"/>
          <w:spacing w:val="-13"/>
          <w:w w:val="100"/>
          <w:sz w:val="16"/>
          <w:szCs w:val="16"/>
        </w:rPr>
        <w:t> </w:t>
      </w:r>
      <w:r>
        <w:rPr>
          <w:rFonts w:ascii="Arial Unicode MS" w:hAnsi="Arial Unicode MS" w:cs="Arial Unicode MS" w:eastAsia="Arial Unicode MS"/>
          <w:spacing w:val="0"/>
          <w:w w:val="100"/>
          <w:sz w:val="16"/>
          <w:szCs w:val="16"/>
        </w:rPr>
        <w:t>(EPA</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方法</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24)</w:t>
      </w:r>
    </w:p>
    <w:p>
      <w:pPr>
        <w:spacing w:before="0" w:after="0" w:line="203"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16"/>
          <w:szCs w:val="16"/>
        </w:rPr>
        <w:t>152</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99"/>
          <w:position w:val="0"/>
          <w:sz w:val="16"/>
          <w:szCs w:val="16"/>
        </w:rPr>
        <w:t>克/千克(原装液体油漆)。欧盟溶剂排放指导</w:t>
      </w:r>
      <w:r>
        <w:rPr>
          <w:rFonts w:ascii="Arial Unicode MS" w:hAnsi="Arial Unicode MS" w:cs="Arial Unicode MS" w:eastAsia="Arial Unicode MS"/>
          <w:spacing w:val="0"/>
          <w:w w:val="99"/>
          <w:position w:val="0"/>
          <w:sz w:val="16"/>
          <w:szCs w:val="16"/>
        </w:rPr>
        <w:t> </w:t>
      </w:r>
      <w:r>
        <w:rPr>
          <w:rFonts w:ascii="Arial Unicode MS" w:hAnsi="Arial Unicode MS" w:cs="Arial Unicode MS" w:eastAsia="Arial Unicode MS"/>
          <w:spacing w:val="0"/>
          <w:w w:val="100"/>
          <w:position w:val="0"/>
          <w:sz w:val="16"/>
          <w:szCs w:val="16"/>
        </w:rPr>
        <w:t>(委员会指导</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1999/13/EC)</w:t>
      </w:r>
      <w:r>
        <w:rPr>
          <w:rFonts w:ascii="Arial Unicode MS" w:hAnsi="Arial Unicode MS" w:cs="Arial Unicode MS" w:eastAsia="Arial Unicode MS"/>
          <w:spacing w:val="0"/>
          <w:w w:val="100"/>
          <w:position w:val="0"/>
          <w:sz w:val="16"/>
          <w:szCs w:val="16"/>
        </w:rPr>
      </w:r>
    </w:p>
    <w:p>
      <w:pPr>
        <w:spacing w:line="203" w:lineRule="exact"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4148" w:space="669"/>
            <w:col w:w="5943"/>
          </w:cols>
        </w:sectPr>
      </w:pPr>
    </w:p>
    <w:p>
      <w:pPr>
        <w:spacing w:before="15" w:after="0" w:line="185" w:lineRule="auto"/>
        <w:ind w:left="2388" w:right="47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挥发性有机化合物值是典型值，仅提供用来作为参考。它们可能会随着诸如颜色和常规制造误差之类因素的改变</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而发生变化。</w:t>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20"/>
        </w:sectPr>
      </w:pPr>
    </w:p>
    <w:p>
      <w:pPr>
        <w:tabs>
          <w:tab w:pos="2280" w:val="left"/>
        </w:tabs>
        <w:spacing w:before="37" w:after="0" w:line="240" w:lineRule="auto"/>
        <w:ind w:left="13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证书</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当作为已核准的方案的一部分使用时，该产品拥有以下证书：</w:t>
      </w:r>
    </w:p>
    <w:p>
      <w:pPr>
        <w:spacing w:before="85" w:after="0" w:line="240" w:lineRule="auto"/>
        <w:ind w:left="301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液舱涂料－压载舱</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B1</w:t>
      </w:r>
      <w:r>
        <w:rPr>
          <w:rFonts w:ascii="Arial Unicode MS" w:hAnsi="Arial Unicode MS" w:cs="Arial Unicode MS" w:eastAsia="Arial Unicode MS"/>
          <w:spacing w:val="-2"/>
          <w:w w:val="100"/>
          <w:sz w:val="16"/>
          <w:szCs w:val="16"/>
        </w:rPr>
        <w:t> </w:t>
      </w:r>
      <w:r>
        <w:rPr>
          <w:rFonts w:ascii="Arial Unicode MS" w:hAnsi="Arial Unicode MS" w:cs="Arial Unicode MS" w:eastAsia="Arial Unicode MS"/>
          <w:spacing w:val="0"/>
          <w:w w:val="100"/>
          <w:sz w:val="16"/>
          <w:szCs w:val="16"/>
        </w:rPr>
        <w:t>类液舱涂料(经</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DNV/Marinetek</w:t>
      </w:r>
      <w:r>
        <w:rPr>
          <w:rFonts w:ascii="Arial Unicode MS" w:hAnsi="Arial Unicode MS" w:cs="Arial Unicode MS" w:eastAsia="Arial Unicode MS"/>
          <w:spacing w:val="-11"/>
          <w:w w:val="100"/>
          <w:sz w:val="16"/>
          <w:szCs w:val="16"/>
        </w:rPr>
        <w:t> </w:t>
      </w:r>
      <w:r>
        <w:rPr>
          <w:rFonts w:ascii="Arial Unicode MS" w:hAnsi="Arial Unicode MS" w:cs="Arial Unicode MS" w:eastAsia="Arial Unicode MS"/>
          <w:spacing w:val="0"/>
          <w:w w:val="100"/>
          <w:sz w:val="16"/>
          <w:szCs w:val="16"/>
        </w:rPr>
        <w:t>测试)</w:t>
      </w:r>
    </w:p>
    <w:p>
      <w:pPr>
        <w:spacing w:before="2" w:after="0" w:line="150" w:lineRule="exact"/>
        <w:jc w:val="left"/>
        <w:rPr>
          <w:sz w:val="15"/>
          <w:szCs w:val="15"/>
        </w:rPr>
      </w:pPr>
      <w:r>
        <w:rPr>
          <w:sz w:val="15"/>
          <w:szCs w:val="15"/>
        </w:rPr>
      </w:r>
    </w:p>
    <w:p>
      <w:pPr>
        <w:spacing w:before="0" w:after="0" w:line="266" w:lineRule="exact"/>
        <w:ind w:left="2297" w:right="-20"/>
        <w:jc w:val="left"/>
        <w:rPr>
          <w:rFonts w:ascii="Arial Unicode MS" w:hAnsi="Arial Unicode MS" w:cs="Arial Unicode MS" w:eastAsia="Arial Unicode MS"/>
          <w:sz w:val="16"/>
          <w:szCs w:val="16"/>
        </w:rPr>
      </w:pPr>
      <w:r>
        <w:rPr/>
        <w:pict>
          <v:group style="position:absolute;margin-left:145.850006pt;margin-top:19.070124pt;width:409.5pt;height:.1pt;mso-position-horizontal-relative:page;mso-position-vertical-relative:paragraph;z-index:-386" coordorigin="2917,381" coordsize="8190,2">
            <v:shape style="position:absolute;left:2917;top:381;width:8190;height:2" coordorigin="2917,381" coordsize="8190,0" path="m2917,381l11107,381e" filled="f" stroked="t" strokeweight="1.5pt" strokecolor="#000000">
              <v:path arrowok="t"/>
            </v:shape>
            <w10:wrap type="none"/>
          </v:group>
        </w:pict>
      </w:r>
      <w:r>
        <w:rPr>
          <w:rFonts w:ascii="Arial Unicode MS" w:hAnsi="Arial Unicode MS" w:cs="Arial Unicode MS" w:eastAsia="Arial Unicode MS"/>
          <w:spacing w:val="0"/>
          <w:w w:val="100"/>
          <w:position w:val="-1"/>
          <w:sz w:val="16"/>
          <w:szCs w:val="16"/>
        </w:rPr>
        <w:t>有关详细情况，请向贵处的国际油漆</w:t>
      </w:r>
      <w:r>
        <w:rPr>
          <w:rFonts w:ascii="Arial Unicode MS" w:hAnsi="Arial Unicode MS" w:cs="Arial Unicode MS" w:eastAsia="Arial Unicode MS"/>
          <w:spacing w:val="0"/>
          <w:w w:val="100"/>
          <w:position w:val="-1"/>
          <w:sz w:val="16"/>
          <w:szCs w:val="16"/>
        </w:rPr>
        <w:t> </w:t>
      </w:r>
      <w:r>
        <w:rPr>
          <w:rFonts w:ascii="Arial Unicode MS" w:hAnsi="Arial Unicode MS" w:cs="Arial Unicode MS" w:eastAsia="Arial Unicode MS"/>
          <w:spacing w:val="0"/>
          <w:w w:val="100"/>
          <w:position w:val="-1"/>
          <w:sz w:val="16"/>
          <w:szCs w:val="16"/>
        </w:rPr>
        <w:t>(International</w:t>
      </w:r>
      <w:r>
        <w:rPr>
          <w:rFonts w:ascii="Arial Unicode MS" w:hAnsi="Arial Unicode MS" w:cs="Arial Unicode MS" w:eastAsia="Arial Unicode MS"/>
          <w:spacing w:val="-9"/>
          <w:w w:val="100"/>
          <w:position w:val="-1"/>
          <w:sz w:val="16"/>
          <w:szCs w:val="16"/>
        </w:rPr>
        <w:t> </w:t>
      </w:r>
      <w:r>
        <w:rPr>
          <w:rFonts w:ascii="Arial Unicode MS" w:hAnsi="Arial Unicode MS" w:cs="Arial Unicode MS" w:eastAsia="Arial Unicode MS"/>
          <w:spacing w:val="0"/>
          <w:w w:val="100"/>
          <w:position w:val="-1"/>
          <w:sz w:val="16"/>
          <w:szCs w:val="16"/>
        </w:rPr>
        <w:t>Paint)</w:t>
      </w:r>
      <w:r>
        <w:rPr>
          <w:rFonts w:ascii="Arial Unicode MS" w:hAnsi="Arial Unicode MS" w:cs="Arial Unicode MS" w:eastAsia="Arial Unicode MS"/>
          <w:spacing w:val="-4"/>
          <w:w w:val="100"/>
          <w:position w:val="-1"/>
          <w:sz w:val="16"/>
          <w:szCs w:val="16"/>
        </w:rPr>
        <w:t> </w:t>
      </w:r>
      <w:r>
        <w:rPr>
          <w:rFonts w:ascii="Arial Unicode MS" w:hAnsi="Arial Unicode MS" w:cs="Arial Unicode MS" w:eastAsia="Arial Unicode MS"/>
          <w:spacing w:val="0"/>
          <w:w w:val="100"/>
          <w:position w:val="-1"/>
          <w:sz w:val="16"/>
          <w:szCs w:val="16"/>
        </w:rPr>
        <w:t>代表咨询。</w:t>
      </w:r>
      <w:r>
        <w:rPr>
          <w:rFonts w:ascii="Arial Unicode MS" w:hAnsi="Arial Unicode MS" w:cs="Arial Unicode MS" w:eastAsia="Arial Unicode MS"/>
          <w:spacing w:val="0"/>
          <w:w w:val="100"/>
          <w:position w:val="0"/>
          <w:sz w:val="16"/>
          <w:szCs w:val="16"/>
        </w:rPr>
      </w:r>
    </w:p>
    <w:p>
      <w:pPr>
        <w:spacing w:before="0" w:after="0" w:line="190" w:lineRule="exact"/>
        <w:jc w:val="left"/>
        <w:rPr>
          <w:sz w:val="19"/>
          <w:szCs w:val="19"/>
        </w:rPr>
      </w:pPr>
      <w:r>
        <w:rPr>
          <w:sz w:val="19"/>
          <w:szCs w:val="19"/>
        </w:rPr>
      </w:r>
    </w:p>
    <w:p>
      <w:pPr>
        <w:spacing w:line="190" w:lineRule="exact" w:after="0"/>
        <w:jc w:val="left"/>
        <w:rPr>
          <w:sz w:val="19"/>
          <w:szCs w:val="19"/>
        </w:rPr>
        <w:sectPr>
          <w:pgSz w:w="11900" w:h="16820"/>
          <w:pgMar w:header="299" w:footer="1582" w:top="1040" w:bottom="1780" w:left="620" w:right="520"/>
        </w:sectPr>
      </w:pPr>
    </w:p>
    <w:p>
      <w:pPr>
        <w:spacing w:before="0" w:after="0" w:line="284" w:lineRule="exact"/>
        <w:ind w:left="13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0"/>
          <w:sz w:val="22"/>
          <w:szCs w:val="22"/>
        </w:rPr>
        <w:t>体系及配套性</w:t>
      </w:r>
      <w:r>
        <w:rPr>
          <w:rFonts w:ascii="Arial Unicode MS" w:hAnsi="Arial Unicode MS" w:cs="Arial Unicode MS" w:eastAsia="Arial Unicode MS"/>
          <w:spacing w:val="0"/>
          <w:w w:val="100"/>
          <w:position w:val="0"/>
          <w:sz w:val="22"/>
          <w:szCs w:val="22"/>
        </w:rPr>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有关最适于待保护表面的漆系，请向贵处的国际油漆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代表咨询。</w:t>
      </w:r>
    </w:p>
    <w:p>
      <w:pPr>
        <w:spacing w:line="231" w:lineRule="exact"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1458" w:space="877"/>
            <w:col w:w="8425"/>
          </w:cols>
        </w:sectPr>
      </w:pPr>
    </w:p>
    <w:p>
      <w:pPr>
        <w:spacing w:before="7" w:after="0" w:line="180" w:lineRule="exact"/>
        <w:jc w:val="left"/>
        <w:rPr>
          <w:sz w:val="18"/>
          <w:szCs w:val="18"/>
        </w:rPr>
      </w:pPr>
      <w:r>
        <w:rPr>
          <w:sz w:val="18"/>
          <w:szCs w:val="18"/>
        </w:rPr>
      </w:r>
    </w:p>
    <w:p>
      <w:pPr>
        <w:spacing w:line="180" w:lineRule="exact" w:after="0"/>
        <w:jc w:val="left"/>
        <w:rPr>
          <w:sz w:val="18"/>
          <w:szCs w:val="18"/>
        </w:rPr>
        <w:sectPr>
          <w:type w:val="continuous"/>
          <w:pgSz w:w="11900" w:h="16820"/>
          <w:pgMar w:top="1040" w:bottom="1780" w:left="620" w:right="520"/>
        </w:sectPr>
      </w:pPr>
    </w:p>
    <w:p>
      <w:pPr>
        <w:spacing w:before="0" w:after="0" w:line="299" w:lineRule="exact"/>
        <w:ind w:left="137" w:right="-73"/>
        <w:jc w:val="left"/>
        <w:rPr>
          <w:rFonts w:ascii="Arial Unicode MS" w:hAnsi="Arial Unicode MS" w:cs="Arial Unicode MS" w:eastAsia="Arial Unicode MS"/>
          <w:sz w:val="22"/>
          <w:szCs w:val="22"/>
        </w:rPr>
      </w:pPr>
      <w:r>
        <w:rPr/>
        <w:pict>
          <v:group style="position:absolute;margin-left:145.570007pt;margin-top:-3.756476pt;width:414.0pt;height:.1pt;mso-position-horizontal-relative:page;mso-position-vertical-relative:paragraph;z-index:-385" coordorigin="2911,-75" coordsize="8280,2">
            <v:shape style="position:absolute;left:2911;top:-75;width:8280;height:2" coordorigin="2911,-75" coordsize="8280,0" path="m2911,-75l11191,-75e" filled="f" stroked="t" strokeweight="1.5pt" strokecolor="#000000">
              <v:path arrowok="t"/>
            </v:shape>
            <w10:wrap type="none"/>
          </v:group>
        </w:pict>
      </w:r>
      <w:r>
        <w:rPr>
          <w:rFonts w:ascii="Arial Unicode MS" w:hAnsi="Arial Unicode MS" w:cs="Arial Unicode MS" w:eastAsia="Arial Unicode MS"/>
          <w:spacing w:val="0"/>
          <w:w w:val="100"/>
          <w:sz w:val="22"/>
          <w:szCs w:val="22"/>
        </w:rPr>
        <w:t>表面处理</w:t>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仅在清洁的表面上涂漆。按照溶剂清理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(SSPC-SP1)</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标准除去所有油脂、油、可溶性污染物和其它外来物质。</w:t>
      </w:r>
    </w:p>
    <w:p>
      <w:pPr>
        <w:spacing w:before="88" w:after="0" w:line="240" w:lineRule="auto"/>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大修</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磨料喷砂清理至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8501:1:1988)</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标准或超高压水清理处理至国际油漆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超高压水清理标准</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HB2M/H</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(如果采用磨料喷砂，在开始前应采用淡水冲洗该区域)。</w:t>
      </w:r>
    </w:p>
    <w:p>
      <w:pPr>
        <w:spacing w:before="2" w:after="0" w:line="150" w:lineRule="exact"/>
        <w:jc w:val="left"/>
        <w:rPr>
          <w:sz w:val="15"/>
          <w:szCs w:val="15"/>
        </w:rPr>
      </w:pPr>
      <w:r>
        <w:rPr>
          <w:sz w:val="15"/>
          <w:szCs w:val="15"/>
        </w:rPr>
      </w:r>
    </w:p>
    <w:p>
      <w:pPr>
        <w:spacing w:before="0" w:after="0" w:line="240" w:lineRule="auto"/>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维修/在航保养</w:t>
      </w:r>
      <w:r>
        <w:rPr>
          <w:rFonts w:ascii="Arial Unicode MS" w:hAnsi="Arial Unicode MS" w:cs="Arial Unicode MS" w:eastAsia="Arial Unicode MS"/>
          <w:spacing w:val="0"/>
          <w:w w:val="100"/>
          <w:sz w:val="16"/>
          <w:szCs w:val="16"/>
        </w:rPr>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采用机械清理处理腐蚀区域至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St3</w:t>
      </w:r>
      <w:r>
        <w:rPr>
          <w:rFonts w:ascii="Arial Unicode MS" w:hAnsi="Arial Unicode MS" w:cs="Arial Unicode MS" w:eastAsia="Arial Unicode MS"/>
          <w:spacing w:val="-2"/>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标准或采用超高压水清理处理至国际油漆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标准</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HB2M/H。打磨周围完整区域并砂薄破损漆膜边缘。</w:t>
      </w:r>
      <w:r>
        <w:rPr>
          <w:rFonts w:ascii="Arial Unicode MS" w:hAnsi="Arial Unicode MS" w:cs="Arial Unicode MS" w:eastAsia="Arial Unicode MS"/>
          <w:spacing w:val="0"/>
          <w:w w:val="100"/>
          <w:sz w:val="16"/>
          <w:szCs w:val="16"/>
        </w:rPr>
      </w:r>
    </w:p>
    <w:p>
      <w:pPr>
        <w:spacing w:before="5" w:after="0" w:line="200" w:lineRule="exact"/>
        <w:jc w:val="left"/>
        <w:rPr>
          <w:sz w:val="20"/>
          <w:szCs w:val="20"/>
        </w:rPr>
      </w:pPr>
      <w:r>
        <w:rPr>
          <w:sz w:val="20"/>
          <w:szCs w:val="20"/>
        </w:rPr>
      </w:r>
    </w:p>
    <w:p>
      <w:pPr>
        <w:spacing w:before="0" w:after="0" w:line="185" w:lineRule="auto"/>
        <w:ind w:left="6" w:right="126"/>
        <w:jc w:val="both"/>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如果复涂大面积双组份旧涂层，在施工前，表面应采用高压淡水冲洗。有关适于用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808</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涂料进行复涂的双组</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份涂料的具体建议，请向贵处的国际油漆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代表咨询。Interbond</w:t>
      </w:r>
      <w:r>
        <w:rPr>
          <w:rFonts w:ascii="Arial Unicode MS" w:hAnsi="Arial Unicode MS" w:cs="Arial Unicode MS" w:eastAsia="Arial Unicode MS"/>
          <w:spacing w:val="-15"/>
          <w:w w:val="100"/>
          <w:sz w:val="16"/>
          <w:szCs w:val="16"/>
        </w:rPr>
        <w:t> </w:t>
      </w:r>
      <w:r>
        <w:rPr>
          <w:rFonts w:ascii="Arial Unicode MS" w:hAnsi="Arial Unicode MS" w:cs="Arial Unicode MS" w:eastAsia="Arial Unicode MS"/>
          <w:spacing w:val="0"/>
          <w:w w:val="100"/>
          <w:sz w:val="16"/>
          <w:szCs w:val="16"/>
        </w:rPr>
        <w:t>808</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不应用于保养或复涂单组份压</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载舱涂料。</w:t>
      </w:r>
    </w:p>
    <w:p>
      <w:pPr>
        <w:spacing w:before="0" w:after="0" w:line="22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当</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808</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99"/>
          <w:sz w:val="16"/>
          <w:szCs w:val="16"/>
        </w:rPr>
        <w:t>作为两道涂层方案进行施工时，Interbond</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808</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铝粉必须作为第一道涂层进行施工。</w:t>
      </w:r>
    </w:p>
    <w:p>
      <w:pPr>
        <w:spacing w:before="61" w:after="0" w:line="185" w:lineRule="auto"/>
        <w:ind w:left="6" w:right="456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注意事项</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用于北美地区的海洋环境，可采用下列表面处理标准：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SSPC-SP6</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代替</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0"/>
          <w:w w:val="100"/>
          <w:sz w:val="16"/>
          <w:szCs w:val="16"/>
        </w:rPr>
      </w:r>
    </w:p>
    <w:p>
      <w:pPr>
        <w:spacing w:before="0" w:after="0" w:line="22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SSPC-SP3</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或</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SSPC-SP11</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代替</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St3</w:t>
      </w:r>
      <w:r>
        <w:rPr>
          <w:rFonts w:ascii="Arial Unicode MS" w:hAnsi="Arial Unicode MS" w:cs="Arial Unicode MS" w:eastAsia="Arial Unicode MS"/>
          <w:spacing w:val="-2"/>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0"/>
          <w:w w:val="100"/>
          <w:sz w:val="16"/>
          <w:szCs w:val="16"/>
        </w:rPr>
      </w:r>
    </w:p>
    <w:p>
      <w:pPr>
        <w:spacing w:line="224" w:lineRule="exact"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1018" w:space="1274"/>
            <w:col w:w="8468"/>
          </w:cols>
        </w:sectPr>
      </w:pPr>
    </w:p>
    <w:p>
      <w:pPr>
        <w:spacing w:before="39" w:after="0" w:line="274" w:lineRule="auto"/>
        <w:ind w:left="137" w:right="36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施工</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混合</w:t>
      </w:r>
    </w:p>
    <w:p>
      <w:pPr>
        <w:spacing w:before="5" w:after="0" w:line="190" w:lineRule="exact"/>
        <w:jc w:val="left"/>
        <w:rPr>
          <w:sz w:val="19"/>
          <w:szCs w:val="19"/>
        </w:rPr>
      </w:pPr>
      <w:r>
        <w:rPr>
          <w:sz w:val="19"/>
          <w:szCs w:val="19"/>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40" w:lineRule="auto"/>
        <w:ind w:left="137" w:right="-77"/>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稀释剂</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无气喷涂</w:t>
      </w:r>
    </w:p>
    <w:p>
      <w:pPr>
        <w:spacing w:before="0" w:after="0" w:line="200" w:lineRule="exact"/>
        <w:jc w:val="left"/>
        <w:rPr>
          <w:sz w:val="20"/>
          <w:szCs w:val="20"/>
        </w:rPr>
      </w:pPr>
      <w:r>
        <w:rPr>
          <w:sz w:val="20"/>
          <w:szCs w:val="20"/>
        </w:rPr>
      </w:r>
    </w:p>
    <w:p>
      <w:pPr>
        <w:spacing w:before="3" w:after="0" w:line="200" w:lineRule="exact"/>
        <w:jc w:val="left"/>
        <w:rPr>
          <w:sz w:val="20"/>
          <w:szCs w:val="20"/>
        </w:rPr>
      </w:pPr>
      <w:r>
        <w:rPr>
          <w:sz w:val="20"/>
          <w:szCs w:val="20"/>
        </w:rPr>
      </w:r>
    </w:p>
    <w:p>
      <w:pPr>
        <w:spacing w:before="0" w:after="0" w:line="244" w:lineRule="auto"/>
        <w:ind w:left="137" w:right="14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刷涂</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漆辊</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清洁剂</w:t>
      </w:r>
    </w:p>
    <w:p>
      <w:pPr>
        <w:spacing w:before="5" w:after="0" w:line="160" w:lineRule="exact"/>
        <w:jc w:val="left"/>
        <w:rPr>
          <w:sz w:val="16"/>
          <w:szCs w:val="16"/>
        </w:rPr>
      </w:pPr>
      <w:r>
        <w:rPr/>
        <w:br w:type="column"/>
      </w:r>
      <w:r>
        <w:rPr>
          <w:sz w:val="16"/>
          <w:szCs w:val="16"/>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185" w:lineRule="auto"/>
        <w:ind w:left="30" w:right="282"/>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涂料分装在两个容器中，作为一组供应。使用时应始终按供应比例整组混合。一组油漆一经混合，则必须在规定的</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混合后施工时间内使用。</w:t>
      </w:r>
    </w:p>
    <w:p>
      <w:pPr>
        <w:spacing w:before="0" w:after="0" w:line="224" w:lineRule="exact"/>
        <w:ind w:left="30"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1)采用电动搅拌器搅拌基料(甲组份)。</w:t>
      </w:r>
    </w:p>
    <w:p>
      <w:pPr>
        <w:spacing w:before="0" w:after="0" w:line="214" w:lineRule="exact"/>
        <w:ind w:left="30"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2)混合全部基料(甲组份)和固化剂(乙组份)，并采用电动搅拌器彻底搅拌。</w:t>
      </w:r>
    </w:p>
    <w:p>
      <w:pPr>
        <w:spacing w:before="26" w:after="0" w:line="382" w:lineRule="exact"/>
        <w:ind w:right="2750" w:firstLine="15"/>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不推荐使用。仅在特殊情况下采用国际牌</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GTA220</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(以体积计，最高量为</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5%)。</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推荐使用</w:t>
      </w:r>
    </w:p>
    <w:p>
      <w:pPr>
        <w:spacing w:before="0" w:after="0" w:line="181"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1"/>
          <w:sz w:val="16"/>
          <w:szCs w:val="16"/>
        </w:rPr>
        <w:t>喷嘴尺寸</w:t>
      </w:r>
      <w:r>
        <w:rPr>
          <w:rFonts w:ascii="Arial Unicode MS" w:hAnsi="Arial Unicode MS" w:cs="Arial Unicode MS" w:eastAsia="Arial Unicode MS"/>
          <w:spacing w:val="0"/>
          <w:w w:val="100"/>
          <w:position w:val="1"/>
          <w:sz w:val="16"/>
          <w:szCs w:val="16"/>
        </w:rPr>
        <w:t> </w:t>
      </w:r>
      <w:r>
        <w:rPr>
          <w:rFonts w:ascii="Arial Unicode MS" w:hAnsi="Arial Unicode MS" w:cs="Arial Unicode MS" w:eastAsia="Arial Unicode MS"/>
          <w:spacing w:val="0"/>
          <w:w w:val="100"/>
          <w:position w:val="1"/>
          <w:sz w:val="16"/>
          <w:szCs w:val="16"/>
        </w:rPr>
        <w:t>0.45-0.66</w:t>
      </w:r>
      <w:r>
        <w:rPr>
          <w:rFonts w:ascii="Arial Unicode MS" w:hAnsi="Arial Unicode MS" w:cs="Arial Unicode MS" w:eastAsia="Arial Unicode MS"/>
          <w:spacing w:val="-7"/>
          <w:w w:val="100"/>
          <w:position w:val="1"/>
          <w:sz w:val="16"/>
          <w:szCs w:val="16"/>
        </w:rPr>
        <w:t> </w:t>
      </w:r>
      <w:r>
        <w:rPr>
          <w:rFonts w:ascii="Arial Unicode MS" w:hAnsi="Arial Unicode MS" w:cs="Arial Unicode MS" w:eastAsia="Arial Unicode MS"/>
          <w:spacing w:val="0"/>
          <w:w w:val="100"/>
          <w:position w:val="1"/>
          <w:sz w:val="16"/>
          <w:szCs w:val="16"/>
        </w:rPr>
        <w:t>毫米</w:t>
      </w:r>
      <w:r>
        <w:rPr>
          <w:rFonts w:ascii="Arial Unicode MS" w:hAnsi="Arial Unicode MS" w:cs="Arial Unicode MS" w:eastAsia="Arial Unicode MS"/>
          <w:spacing w:val="0"/>
          <w:w w:val="100"/>
          <w:position w:val="1"/>
          <w:sz w:val="16"/>
          <w:szCs w:val="16"/>
        </w:rPr>
        <w:t> </w:t>
      </w:r>
      <w:r>
        <w:rPr>
          <w:rFonts w:ascii="Arial Unicode MS" w:hAnsi="Arial Unicode MS" w:cs="Arial Unicode MS" w:eastAsia="Arial Unicode MS"/>
          <w:spacing w:val="0"/>
          <w:w w:val="100"/>
          <w:position w:val="1"/>
          <w:sz w:val="16"/>
          <w:szCs w:val="16"/>
        </w:rPr>
        <w:t>(18-26</w:t>
      </w:r>
      <w:r>
        <w:rPr>
          <w:rFonts w:ascii="Arial Unicode MS" w:hAnsi="Arial Unicode MS" w:cs="Arial Unicode MS" w:eastAsia="Arial Unicode MS"/>
          <w:spacing w:val="0"/>
          <w:w w:val="100"/>
          <w:position w:val="1"/>
          <w:sz w:val="16"/>
          <w:szCs w:val="16"/>
        </w:rPr>
        <w:t> </w:t>
      </w:r>
      <w:r>
        <w:rPr>
          <w:rFonts w:ascii="Arial Unicode MS" w:hAnsi="Arial Unicode MS" w:cs="Arial Unicode MS" w:eastAsia="Arial Unicode MS"/>
          <w:spacing w:val="0"/>
          <w:w w:val="100"/>
          <w:position w:val="1"/>
          <w:sz w:val="16"/>
          <w:szCs w:val="16"/>
        </w:rPr>
        <w:t>thou)</w:t>
      </w:r>
      <w:r>
        <w:rPr>
          <w:rFonts w:ascii="Arial Unicode MS" w:hAnsi="Arial Unicode MS" w:cs="Arial Unicode MS" w:eastAsia="Arial Unicode MS"/>
          <w:spacing w:val="0"/>
          <w:w w:val="100"/>
          <w:position w:val="0"/>
          <w:sz w:val="16"/>
          <w:szCs w:val="16"/>
        </w:rPr>
      </w:r>
    </w:p>
    <w:p>
      <w:pPr>
        <w:spacing w:before="0" w:after="0" w:line="214"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喷嘴处的输出流体总压力不低于</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190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246</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千克/厘米²</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(2700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3500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磅/平方英寸)</w:t>
      </w:r>
      <w:r>
        <w:rPr>
          <w:rFonts w:ascii="Arial Unicode MS" w:hAnsi="Arial Unicode MS" w:cs="Arial Unicode MS" w:eastAsia="Arial Unicode MS"/>
          <w:spacing w:val="0"/>
          <w:w w:val="100"/>
          <w:sz w:val="16"/>
          <w:szCs w:val="16"/>
        </w:rPr>
      </w:r>
    </w:p>
    <w:p>
      <w:pPr>
        <w:spacing w:before="79" w:after="0" w:line="316" w:lineRule="auto"/>
        <w:ind w:right="335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刷涂施工仅建议用于小面积。可能需要多道涂层，以达到规定的膜厚。</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不推荐使用。</w:t>
      </w:r>
    </w:p>
    <w:p>
      <w:pPr>
        <w:spacing w:before="66" w:after="0" w:line="240" w:lineRule="auto"/>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国际牌</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GTA822/GTA220</w:t>
      </w:r>
      <w:r>
        <w:rPr>
          <w:rFonts w:ascii="Arial Unicode MS" w:hAnsi="Arial Unicode MS" w:cs="Arial Unicode MS" w:eastAsia="Arial Unicode MS"/>
          <w:spacing w:val="0"/>
          <w:w w:val="100"/>
          <w:sz w:val="16"/>
          <w:szCs w:val="16"/>
        </w:rPr>
      </w:r>
    </w:p>
    <w:p>
      <w:pPr>
        <w:spacing w:line="240" w:lineRule="auto" w:after="0"/>
        <w:jc w:val="left"/>
        <w:rPr>
          <w:rFonts w:ascii="Arial Unicode MS" w:hAnsi="Arial Unicode MS" w:cs="Arial Unicode MS" w:eastAsia="Arial Unicode MS"/>
          <w:sz w:val="16"/>
          <w:szCs w:val="16"/>
        </w:rPr>
        <w:sectPr>
          <w:headerReference w:type="default" r:id="rId7"/>
          <w:pgSz w:w="11900" w:h="16820"/>
          <w:pgMar w:header="299" w:footer="1582" w:top="1040" w:bottom="1780" w:left="620" w:right="520"/>
          <w:cols w:num="2" w:equalWidth="0">
            <w:col w:w="1018" w:space="1369"/>
            <w:col w:w="8373"/>
          </w:cols>
        </w:sectPr>
      </w:pPr>
    </w:p>
    <w:p>
      <w:pPr>
        <w:tabs>
          <w:tab w:pos="2380" w:val="left"/>
        </w:tabs>
        <w:spacing w:before="46" w:after="0" w:line="178" w:lineRule="auto"/>
        <w:ind w:left="2387" w:right="268" w:hanging="225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工作中止及清理</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不要让涂料残留在软管、喷枪或喷涂设备中。采用国际牌</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GTA822/GTA220</w:t>
      </w:r>
      <w:r>
        <w:rPr>
          <w:rFonts w:ascii="Arial Unicode MS" w:hAnsi="Arial Unicode MS" w:cs="Arial Unicode MS" w:eastAsia="Arial Unicode MS"/>
          <w:spacing w:val="-12"/>
          <w:w w:val="100"/>
          <w:position w:val="0"/>
          <w:sz w:val="16"/>
          <w:szCs w:val="16"/>
        </w:rPr>
        <w:t> </w:t>
      </w:r>
      <w:r>
        <w:rPr>
          <w:rFonts w:ascii="Arial Unicode MS" w:hAnsi="Arial Unicode MS" w:cs="Arial Unicode MS" w:eastAsia="Arial Unicode MS"/>
          <w:spacing w:val="0"/>
          <w:w w:val="100"/>
          <w:position w:val="0"/>
          <w:sz w:val="16"/>
          <w:szCs w:val="16"/>
        </w:rPr>
        <w:t>彻底冲洗所有设备。一组油漆一经混</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合，不应再行密封，施工中如停顿时间过长，建议重新混合各组份，再开始施工。</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所有设备在使用后应立即采用国际牌</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GTA822/GTA220</w:t>
      </w:r>
      <w:r>
        <w:rPr>
          <w:rFonts w:ascii="Arial Unicode MS" w:hAnsi="Arial Unicode MS" w:cs="Arial Unicode MS" w:eastAsia="Arial Unicode MS"/>
          <w:spacing w:val="-12"/>
          <w:w w:val="100"/>
          <w:position w:val="0"/>
          <w:sz w:val="16"/>
          <w:szCs w:val="16"/>
        </w:rPr>
        <w:t> </w:t>
      </w:r>
      <w:r>
        <w:rPr>
          <w:rFonts w:ascii="Arial Unicode MS" w:hAnsi="Arial Unicode MS" w:cs="Arial Unicode MS" w:eastAsia="Arial Unicode MS"/>
          <w:spacing w:val="0"/>
          <w:w w:val="100"/>
          <w:position w:val="0"/>
          <w:sz w:val="16"/>
          <w:szCs w:val="16"/>
        </w:rPr>
        <w:t>进行清洗。在一天的工作过程中定时冲洗喷涂设备是一种良</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好的工作习惯。清洗次数取决于喷涂数量、温度和使用时间(包括耽搁的时间)。不要超过涂料的混合后施工时间。</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所有剩余涂料和空容器应按照当地适宜的规章/法律进行处置。</w:t>
      </w:r>
      <w:r>
        <w:rPr>
          <w:rFonts w:ascii="Arial Unicode MS" w:hAnsi="Arial Unicode MS" w:cs="Arial Unicode MS" w:eastAsia="Arial Unicode MS"/>
          <w:spacing w:val="0"/>
          <w:w w:val="100"/>
          <w:position w:val="0"/>
          <w:sz w:val="16"/>
          <w:szCs w:val="16"/>
        </w:rPr>
      </w:r>
    </w:p>
    <w:p>
      <w:pPr>
        <w:spacing w:before="8" w:after="0" w:line="240" w:lineRule="exact"/>
        <w:jc w:val="left"/>
        <w:rPr>
          <w:sz w:val="24"/>
          <w:szCs w:val="24"/>
        </w:rPr>
      </w:pPr>
      <w:r>
        <w:rPr>
          <w:sz w:val="24"/>
          <w:szCs w:val="24"/>
        </w:rPr>
      </w:r>
    </w:p>
    <w:p>
      <w:pPr>
        <w:tabs>
          <w:tab w:pos="2360" w:val="left"/>
        </w:tabs>
        <w:spacing w:before="8" w:after="0" w:line="158" w:lineRule="auto"/>
        <w:ind w:left="2372" w:right="326" w:hanging="2235"/>
        <w:jc w:val="left"/>
        <w:rPr>
          <w:rFonts w:ascii="Arial Unicode MS" w:hAnsi="Arial Unicode MS" w:cs="Arial Unicode MS" w:eastAsia="Arial Unicode MS"/>
          <w:sz w:val="16"/>
          <w:szCs w:val="16"/>
        </w:rPr>
      </w:pPr>
      <w:r>
        <w:rPr/>
        <w:pict>
          <v:group style="position:absolute;margin-left:149.600006pt;margin-top:27.470106pt;width:405.75pt;height:.1pt;mso-position-horizontal-relative:page;mso-position-vertical-relative:paragraph;z-index:-384" coordorigin="2992,549" coordsize="8115,2">
            <v:shape style="position:absolute;left:2992;top:549;width:8115;height:2" coordorigin="2992,549" coordsize="8115,0" path="m2992,549l11107,549e" filled="f" stroked="t" strokeweight="1.5pt" strokecolor="#000000">
              <v:path arrowok="t"/>
            </v:shape>
            <w10:wrap type="none"/>
          </v:group>
        </w:pict>
      </w:r>
      <w:r>
        <w:rPr>
          <w:rFonts w:ascii="Arial Unicode MS" w:hAnsi="Arial Unicode MS" w:cs="Arial Unicode MS" w:eastAsia="Arial Unicode MS"/>
          <w:spacing w:val="0"/>
          <w:w w:val="100"/>
          <w:position w:val="-4"/>
          <w:sz w:val="22"/>
          <w:szCs w:val="22"/>
        </w:rPr>
        <w:t>焊接</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如果在涂有该产品的金属上进行焊接或火焰切割，会散发灰尘和烟雾，需使用合适的个人防护设备及局部通风排气</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设施。在北美，按照</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ANSI/ASC</w:t>
      </w:r>
      <w:r>
        <w:rPr>
          <w:rFonts w:ascii="Arial Unicode MS" w:hAnsi="Arial Unicode MS" w:cs="Arial Unicode MS" w:eastAsia="Arial Unicode MS"/>
          <w:spacing w:val="-7"/>
          <w:w w:val="100"/>
          <w:position w:val="0"/>
          <w:sz w:val="16"/>
          <w:szCs w:val="16"/>
        </w:rPr>
        <w:t> </w:t>
      </w:r>
      <w:r>
        <w:rPr>
          <w:rFonts w:ascii="Arial Unicode MS" w:hAnsi="Arial Unicode MS" w:cs="Arial Unicode MS" w:eastAsia="Arial Unicode MS"/>
          <w:spacing w:val="0"/>
          <w:w w:val="100"/>
          <w:position w:val="0"/>
          <w:sz w:val="16"/>
          <w:szCs w:val="16"/>
        </w:rPr>
        <w:t>Z49.1</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“焊接和切割中的安全事项”中的指示进行操作。</w:t>
      </w:r>
    </w:p>
    <w:p>
      <w:pPr>
        <w:spacing w:before="4" w:after="0" w:line="190" w:lineRule="exact"/>
        <w:jc w:val="left"/>
        <w:rPr>
          <w:sz w:val="19"/>
          <w:szCs w:val="19"/>
        </w:rPr>
      </w:pPr>
      <w:r>
        <w:rPr>
          <w:sz w:val="19"/>
          <w:szCs w:val="19"/>
        </w:rPr>
      </w:r>
    </w:p>
    <w:p>
      <w:pPr>
        <w:tabs>
          <w:tab w:pos="2240" w:val="left"/>
        </w:tabs>
        <w:spacing w:before="0" w:after="0" w:line="297" w:lineRule="exact"/>
        <w:ind w:left="100" w:right="892"/>
        <w:jc w:val="center"/>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22"/>
          <w:szCs w:val="22"/>
        </w:rPr>
        <w:t>安全</w:t>
        <w:tab/>
      </w:r>
      <w:r>
        <w:rPr>
          <w:rFonts w:ascii="Arial Unicode MS" w:hAnsi="Arial Unicode MS" w:cs="Arial Unicode MS" w:eastAsia="Arial Unicode MS"/>
          <w:spacing w:val="0"/>
          <w:w w:val="100"/>
          <w:sz w:val="22"/>
          <w:szCs w:val="22"/>
        </w:rPr>
      </w:r>
      <w:r>
        <w:rPr>
          <w:rFonts w:ascii="Arial Unicode MS" w:hAnsi="Arial Unicode MS" w:cs="Arial Unicode MS" w:eastAsia="Arial Unicode MS"/>
          <w:spacing w:val="0"/>
          <w:w w:val="100"/>
          <w:position w:val="5"/>
          <w:sz w:val="16"/>
          <w:szCs w:val="16"/>
        </w:rPr>
        <w:t>所有与该产品的施工和使用有关的工作，均应按照国家关于健康、安全和环境保护方面的标准和规定进行。</w:t>
      </w:r>
      <w:r>
        <w:rPr>
          <w:rFonts w:ascii="Arial Unicode MS" w:hAnsi="Arial Unicode MS" w:cs="Arial Unicode MS" w:eastAsia="Arial Unicode MS"/>
          <w:spacing w:val="0"/>
          <w:w w:val="100"/>
          <w:position w:val="0"/>
          <w:sz w:val="16"/>
          <w:szCs w:val="16"/>
        </w:rPr>
      </w:r>
    </w:p>
    <w:p>
      <w:pPr>
        <w:spacing w:before="8" w:after="0" w:line="130" w:lineRule="exact"/>
        <w:jc w:val="left"/>
        <w:rPr>
          <w:sz w:val="13"/>
          <w:szCs w:val="13"/>
        </w:rPr>
      </w:pPr>
      <w:r>
        <w:rPr>
          <w:sz w:val="13"/>
          <w:szCs w:val="13"/>
        </w:rPr>
      </w:r>
    </w:p>
    <w:p>
      <w:pPr>
        <w:spacing w:before="0" w:after="0" w:line="185" w:lineRule="auto"/>
        <w:ind w:left="2291" w:right="407"/>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使用该产品前，应获取、参阅并遵循该产品“材料安全说明书”有关健康和安全方面的信息规定。参阅并遵守“材料安</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全说明书”和包装容器标牌上的所有预防措施。如果您未完全了解这些告诫和规定，或者不能严格遵守，请勿使用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该产品。在该产品的施工和干燥过程中，必须采用合适的通风和防范措施，将溶剂蒸汽浓度控制在安全限定值以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内，以防止发生中毒或缺氧的危险。采取保护措施，避免皮肤和眼睛与该产品接触(例如：手套、护目镜、面罩、</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隔离霜等)。具体安全措施应视施工方法和工作环境而定。</w:t>
      </w:r>
    </w:p>
    <w:p>
      <w:pPr>
        <w:spacing w:before="0" w:after="0" w:line="22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紧急联系电话：</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美国/加拿大</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医疗咨询电话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1-800-854-6813</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欧洲</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联系电话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191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4696111。医院及医生诊视电话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207</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6359191</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R.O.W.</w:t>
      </w:r>
      <w:r>
        <w:rPr>
          <w:rFonts w:ascii="Arial Unicode MS" w:hAnsi="Arial Unicode MS" w:cs="Arial Unicode MS" w:eastAsia="Arial Unicode MS"/>
          <w:spacing w:val="-5"/>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与地区办事处联系</w:t>
      </w:r>
    </w:p>
    <w:p>
      <w:pPr>
        <w:spacing w:line="214" w:lineRule="exact" w:after="0"/>
        <w:jc w:val="left"/>
        <w:rPr>
          <w:rFonts w:ascii="Arial Unicode MS" w:hAnsi="Arial Unicode MS" w:cs="Arial Unicode MS" w:eastAsia="Arial Unicode MS"/>
          <w:sz w:val="16"/>
          <w:szCs w:val="16"/>
        </w:rPr>
        <w:sectPr>
          <w:type w:val="continuous"/>
          <w:pgSz w:w="11900" w:h="16820"/>
          <w:pgMar w:top="1040" w:bottom="1780" w:left="620" w:right="520"/>
        </w:sectPr>
      </w:pPr>
    </w:p>
    <w:p>
      <w:pPr>
        <w:tabs>
          <w:tab w:pos="2280" w:val="left"/>
        </w:tabs>
        <w:spacing w:before="37" w:after="0" w:line="370" w:lineRule="exact"/>
        <w:ind w:left="13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2"/>
          <w:sz w:val="22"/>
          <w:szCs w:val="22"/>
        </w:rPr>
        <w:t>限制</w:t>
        <w:tab/>
      </w:r>
      <w:r>
        <w:rPr>
          <w:rFonts w:ascii="Arial Unicode MS" w:hAnsi="Arial Unicode MS" w:cs="Arial Unicode MS" w:eastAsia="Arial Unicode MS"/>
          <w:spacing w:val="0"/>
          <w:w w:val="100"/>
          <w:position w:val="-2"/>
          <w:sz w:val="22"/>
          <w:szCs w:val="22"/>
        </w:rPr>
      </w:r>
      <w:r>
        <w:rPr>
          <w:rFonts w:ascii="Arial Unicode MS" w:hAnsi="Arial Unicode MS" w:cs="Arial Unicode MS" w:eastAsia="Arial Unicode MS"/>
          <w:spacing w:val="0"/>
          <w:w w:val="100"/>
          <w:position w:val="2"/>
          <w:sz w:val="16"/>
          <w:szCs w:val="16"/>
        </w:rPr>
        <w:t>该产品在</w:t>
      </w:r>
      <w:r>
        <w:rPr>
          <w:rFonts w:ascii="Arial Unicode MS" w:hAnsi="Arial Unicode MS" w:cs="Arial Unicode MS" w:eastAsia="Arial Unicode MS"/>
          <w:spacing w:val="0"/>
          <w:w w:val="100"/>
          <w:position w:val="2"/>
          <w:sz w:val="16"/>
          <w:szCs w:val="16"/>
        </w:rPr>
        <w:t> </w:t>
      </w:r>
      <w:r>
        <w:rPr>
          <w:rFonts w:ascii="Arial Unicode MS" w:hAnsi="Arial Unicode MS" w:cs="Arial Unicode MS" w:eastAsia="Arial Unicode MS"/>
          <w:spacing w:val="0"/>
          <w:w w:val="100"/>
          <w:position w:val="2"/>
          <w:sz w:val="16"/>
          <w:szCs w:val="16"/>
        </w:rPr>
        <w:t>5°C</w:t>
      </w:r>
      <w:r>
        <w:rPr>
          <w:rFonts w:ascii="Arial Unicode MS" w:hAnsi="Arial Unicode MS" w:cs="Arial Unicode MS" w:eastAsia="Arial Unicode MS"/>
          <w:spacing w:val="-3"/>
          <w:w w:val="100"/>
          <w:position w:val="2"/>
          <w:sz w:val="16"/>
          <w:szCs w:val="16"/>
        </w:rPr>
        <w:t> </w:t>
      </w:r>
      <w:r>
        <w:rPr>
          <w:rFonts w:ascii="Arial Unicode MS" w:hAnsi="Arial Unicode MS" w:cs="Arial Unicode MS" w:eastAsia="Arial Unicode MS"/>
          <w:spacing w:val="0"/>
          <w:w w:val="100"/>
          <w:position w:val="2"/>
          <w:sz w:val="16"/>
          <w:szCs w:val="16"/>
        </w:rPr>
        <w:t>以下不会充分固化。底材温度不得超过</w:t>
      </w:r>
      <w:r>
        <w:rPr>
          <w:rFonts w:ascii="Arial Unicode MS" w:hAnsi="Arial Unicode MS" w:cs="Arial Unicode MS" w:eastAsia="Arial Unicode MS"/>
          <w:spacing w:val="0"/>
          <w:w w:val="100"/>
          <w:position w:val="2"/>
          <w:sz w:val="16"/>
          <w:szCs w:val="16"/>
        </w:rPr>
        <w:t> </w:t>
      </w:r>
      <w:r>
        <w:rPr>
          <w:rFonts w:ascii="Arial Unicode MS" w:hAnsi="Arial Unicode MS" w:cs="Arial Unicode MS" w:eastAsia="Arial Unicode MS"/>
          <w:spacing w:val="0"/>
          <w:w w:val="100"/>
          <w:position w:val="2"/>
          <w:sz w:val="16"/>
          <w:szCs w:val="16"/>
        </w:rPr>
        <w:t>40°C。</w:t>
      </w:r>
      <w:r>
        <w:rPr>
          <w:rFonts w:ascii="Arial Unicode MS" w:hAnsi="Arial Unicode MS" w:cs="Arial Unicode MS" w:eastAsia="Arial Unicode MS"/>
          <w:spacing w:val="0"/>
          <w:w w:val="100"/>
          <w:position w:val="0"/>
          <w:sz w:val="16"/>
          <w:szCs w:val="16"/>
        </w:rPr>
      </w:r>
    </w:p>
    <w:p>
      <w:pPr>
        <w:spacing w:before="0" w:after="0" w:line="160"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1"/>
          <w:sz w:val="16"/>
          <w:szCs w:val="16"/>
        </w:rPr>
        <w:t>Interbond</w:t>
      </w:r>
      <w:r>
        <w:rPr>
          <w:rFonts w:ascii="Arial Unicode MS" w:hAnsi="Arial Unicode MS" w:cs="Arial Unicode MS" w:eastAsia="Arial Unicode MS"/>
          <w:spacing w:val="-7"/>
          <w:w w:val="100"/>
          <w:position w:val="1"/>
          <w:sz w:val="16"/>
          <w:szCs w:val="16"/>
        </w:rPr>
        <w:t> </w:t>
      </w:r>
      <w:r>
        <w:rPr>
          <w:rFonts w:ascii="Arial Unicode MS" w:hAnsi="Arial Unicode MS" w:cs="Arial Unicode MS" w:eastAsia="Arial Unicode MS"/>
          <w:spacing w:val="0"/>
          <w:w w:val="100"/>
          <w:position w:val="1"/>
          <w:sz w:val="16"/>
          <w:szCs w:val="16"/>
        </w:rPr>
        <w:t>808</w:t>
      </w:r>
      <w:r>
        <w:rPr>
          <w:rFonts w:ascii="Arial Unicode MS" w:hAnsi="Arial Unicode MS" w:cs="Arial Unicode MS" w:eastAsia="Arial Unicode MS"/>
          <w:spacing w:val="0"/>
          <w:w w:val="100"/>
          <w:position w:val="1"/>
          <w:sz w:val="16"/>
          <w:szCs w:val="16"/>
        </w:rPr>
        <w:t> </w:t>
      </w:r>
      <w:r>
        <w:rPr>
          <w:rFonts w:ascii="Arial Unicode MS" w:hAnsi="Arial Unicode MS" w:cs="Arial Unicode MS" w:eastAsia="Arial Unicode MS"/>
          <w:spacing w:val="0"/>
          <w:w w:val="100"/>
          <w:position w:val="1"/>
          <w:sz w:val="16"/>
          <w:szCs w:val="16"/>
        </w:rPr>
        <w:t>可施工在有潮气、但在变干的表面上－而不是湿表面上。它不能施工在水滩或水滴上。关于潮气的简单</w:t>
      </w:r>
      <w:r>
        <w:rPr>
          <w:rFonts w:ascii="Arial Unicode MS" w:hAnsi="Arial Unicode MS" w:cs="Arial Unicode MS" w:eastAsia="Arial Unicode MS"/>
          <w:spacing w:val="0"/>
          <w:w w:val="100"/>
          <w:position w:val="0"/>
          <w:sz w:val="16"/>
          <w:szCs w:val="16"/>
        </w:rPr>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试验如下：用手指在待涂表面上画一“V”字形，如果水滴聚集在“V”字形的底部，那么表面是湿的，而不是有潮气的，不</w:t>
      </w:r>
      <w:r>
        <w:rPr>
          <w:rFonts w:ascii="Arial Unicode MS" w:hAnsi="Arial Unicode MS" w:cs="Arial Unicode MS" w:eastAsia="Arial Unicode MS"/>
          <w:spacing w:val="0"/>
          <w:w w:val="100"/>
          <w:sz w:val="16"/>
          <w:szCs w:val="16"/>
        </w:rPr>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应施工。然而，可对待涂表面进行干燥处理和施涂，条件是在施工过程中没有变湿。</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808</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系列一旦浸入水中，仍能继续其固化过程。但是，施工后过早浸入水中，会阻缓涂料的固化，而导致漆</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膜软化。见“下水前的干燥时间”。</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当</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808</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的固化剂在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5°C</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以下贮存时，有变浑浊的倾向。将固化剂加热至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5°C</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以上，又会恢复至澄清的特</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性。固化剂在浑浊状况下使用，未发现对性能有不利影响。</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复涂数据仅作指导之用，应视当地的气候和环境条件而定。有关特殊建议，请向贵处的国际油漆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0"/>
          <w:w w:val="100"/>
          <w:sz w:val="16"/>
          <w:szCs w:val="16"/>
        </w:rPr>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代表咨询。</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为达到最佳施工性能，在混合和施工前，将涂料温度提升到</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25-30°C，除非另有特殊指令。未混合的涂料(在盖紧的容</w:t>
      </w:r>
      <w:r>
        <w:rPr>
          <w:rFonts w:ascii="Arial Unicode MS" w:hAnsi="Arial Unicode MS" w:cs="Arial Unicode MS" w:eastAsia="Arial Unicode MS"/>
          <w:spacing w:val="0"/>
          <w:w w:val="100"/>
          <w:sz w:val="16"/>
          <w:szCs w:val="16"/>
        </w:rPr>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器中)应按该产品说明书“贮存”一节中规定的方式进行保护性贮存。</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此处提及的技术和施工数据之目的，是为制定一个涂料施工程序的总则。测试性能结果来自于受控的实验室环境，国</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并不声称所公布的测试结果，或任何其它测试，精确代表所有现场环境中所得到的结果。</w:t>
      </w:r>
    </w:p>
    <w:p>
      <w:pPr>
        <w:spacing w:before="0" w:after="0" w:line="203" w:lineRule="exact"/>
        <w:ind w:left="2297" w:right="-20"/>
        <w:jc w:val="left"/>
        <w:rPr>
          <w:rFonts w:ascii="Arial Unicode MS" w:hAnsi="Arial Unicode MS" w:cs="Arial Unicode MS" w:eastAsia="Arial Unicode MS"/>
          <w:sz w:val="16"/>
          <w:szCs w:val="16"/>
        </w:rPr>
      </w:pPr>
      <w:r>
        <w:rPr/>
        <w:pict>
          <v:group style="position:absolute;margin-left:145.850006pt;margin-top:15.932549pt;width:417.6pt;height:.1pt;mso-position-horizontal-relative:page;mso-position-vertical-relative:paragraph;z-index:-383" coordorigin="2917,319" coordsize="8352,2">
            <v:shape style="position:absolute;left:2917;top:319;width:8352;height:2" coordorigin="2917,319" coordsize="8352,0" path="m2917,319l11269,319e" filled="f" stroked="t" strokeweight="1.5pt" strokecolor="#000000">
              <v:path arrowok="t"/>
            </v:shape>
            <w10:wrap type="none"/>
          </v:group>
        </w:pict>
      </w:r>
      <w:r>
        <w:rPr>
          <w:rFonts w:ascii="Arial Unicode MS" w:hAnsi="Arial Unicode MS" w:cs="Arial Unicode MS" w:eastAsia="Arial Unicode MS"/>
          <w:spacing w:val="0"/>
          <w:w w:val="100"/>
          <w:position w:val="0"/>
          <w:sz w:val="16"/>
          <w:szCs w:val="16"/>
        </w:rPr>
        <w:t>由于施工应用,</w:t>
      </w:r>
      <w:r>
        <w:rPr>
          <w:rFonts w:ascii="Arial Unicode MS" w:hAnsi="Arial Unicode MS" w:cs="Arial Unicode MS" w:eastAsia="Arial Unicode MS"/>
          <w:spacing w:val="-10"/>
          <w:w w:val="100"/>
          <w:position w:val="0"/>
          <w:sz w:val="16"/>
          <w:szCs w:val="16"/>
        </w:rPr>
        <w:t> </w:t>
      </w:r>
      <w:r>
        <w:rPr>
          <w:rFonts w:ascii="Arial Unicode MS" w:hAnsi="Arial Unicode MS" w:cs="Arial Unicode MS" w:eastAsia="Arial Unicode MS"/>
          <w:spacing w:val="0"/>
          <w:w w:val="100"/>
          <w:position w:val="0"/>
          <w:sz w:val="16"/>
          <w:szCs w:val="16"/>
        </w:rPr>
        <w:t>环境和设计因素变化很大，所以在进行涂料选择、性能证实或使用时应十分小心谨慎。</w:t>
      </w:r>
      <w:r>
        <w:rPr>
          <w:rFonts w:ascii="Arial Unicode MS" w:hAnsi="Arial Unicode MS" w:cs="Arial Unicode MS" w:eastAsia="Arial Unicode MS"/>
          <w:spacing w:val="0"/>
          <w:w w:val="100"/>
          <w:position w:val="0"/>
          <w:sz w:val="16"/>
          <w:szCs w:val="16"/>
        </w:rPr>
      </w:r>
    </w:p>
    <w:p>
      <w:pPr>
        <w:spacing w:before="4" w:after="0" w:line="280" w:lineRule="exact"/>
        <w:jc w:val="left"/>
        <w:rPr>
          <w:sz w:val="28"/>
          <w:szCs w:val="28"/>
        </w:rPr>
      </w:pPr>
      <w:r>
        <w:rPr>
          <w:sz w:val="28"/>
          <w:szCs w:val="28"/>
        </w:rPr>
      </w:r>
    </w:p>
    <w:p>
      <w:pPr>
        <w:spacing w:before="0" w:after="0" w:line="280" w:lineRule="exact"/>
        <w:ind w:left="137" w:right="-20"/>
        <w:jc w:val="left"/>
        <w:rPr>
          <w:rFonts w:ascii="Arial Unicode MS" w:hAnsi="Arial Unicode MS" w:cs="Arial Unicode MS" w:eastAsia="Arial Unicode MS"/>
          <w:sz w:val="22"/>
          <w:szCs w:val="22"/>
        </w:rPr>
      </w:pPr>
      <w:r>
        <w:rPr/>
        <w:pict>
          <v:group style="position:absolute;margin-left:37.849998pt;margin-top:2.316846pt;width:522.75pt;height:76.3642pt;mso-position-horizontal-relative:page;mso-position-vertical-relative:paragraph;z-index:-382" coordorigin="757,46" coordsize="10455,1527">
            <v:shape style="position:absolute;left:757;top:46;width:10455;height:1527" coordorigin="757,46" coordsize="10455,1527" path="m757,1574l11212,1574,11212,46,757,46,757,1574xe" filled="t" fillcolor="#D2D2D2" stroked="f">
              <v:path arrowok="t"/>
              <v:fill/>
            </v:shape>
            <w10:wrap type="none"/>
          </v:group>
        </w:pict>
      </w:r>
      <w:r>
        <w:rPr/>
        <w:pict>
          <v:shape style="position:absolute;margin-left:166.5pt;margin-top:2.316846pt;width:394.1pt;height:59.414216pt;mso-position-horizontal-relative:page;mso-position-vertical-relative:paragraph;z-index:-378" type="#_x0000_t202" filled="f" stroked="f">
            <v:textbox inset="0,0,0,0">
              <w:txbxContent>
                <w:tbl>
                  <w:tblPr>
                    <w:tblW w:w="0" w:type="auto"/>
                    <w:jc w:val="left"/>
                    <w:tblLayout w:type="fixed"/>
                    <w:tblCellMar>
                      <w:top w:w="0" w:type="dxa"/>
                      <w:left w:w="0" w:type="dxa"/>
                      <w:bottom w:w="0" w:type="dxa"/>
                      <w:right w:w="0" w:type="dxa"/>
                    </w:tblCellMar>
                    <w:tblLook w:val="01E0"/>
                  </w:tblPr>
                  <w:tblGrid/>
                  <w:tr>
                    <w:trPr>
                      <w:trHeight w:val="169" w:hRule="exact"/>
                    </w:trPr>
                    <w:tc>
                      <w:tcPr>
                        <w:tcW w:w="929" w:type="dxa"/>
                        <w:tcBorders>
                          <w:top w:val="nil" w:sz="6" w:space="0" w:color="auto"/>
                          <w:left w:val="nil" w:sz="6" w:space="0" w:color="auto"/>
                          <w:bottom w:val="nil" w:sz="6" w:space="0" w:color="auto"/>
                          <w:right w:val="nil" w:sz="6" w:space="0" w:color="auto"/>
                        </w:tcBorders>
                        <w:shd w:val="clear" w:color="auto" w:fill="D2D2D2"/>
                      </w:tcPr>
                      <w:p>
                        <w:pPr>
                          <w:spacing w:before="0" w:after="0" w:line="158"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包装规格</w:t>
                        </w:r>
                        <w:r>
                          <w:rPr>
                            <w:rFonts w:ascii="Arial Unicode MS" w:hAnsi="Arial Unicode MS" w:cs="Arial Unicode MS" w:eastAsia="Arial Unicode MS"/>
                            <w:spacing w:val="0"/>
                            <w:w w:val="100"/>
                            <w:position w:val="0"/>
                            <w:sz w:val="14"/>
                            <w:szCs w:val="14"/>
                          </w:rPr>
                        </w:r>
                      </w:p>
                    </w:tc>
                    <w:tc>
                      <w:tcPr>
                        <w:tcW w:w="1221" w:type="dxa"/>
                        <w:tcBorders>
                          <w:top w:val="nil" w:sz="6" w:space="0" w:color="auto"/>
                          <w:left w:val="nil" w:sz="6" w:space="0" w:color="auto"/>
                          <w:bottom w:val="nil" w:sz="6" w:space="0" w:color="auto"/>
                          <w:right w:val="nil" w:sz="6" w:space="0" w:color="auto"/>
                        </w:tcBorders>
                        <w:shd w:val="clear" w:color="auto" w:fill="D2D2D2"/>
                      </w:tcPr>
                      <w:p>
                        <w:pPr>
                          <w:spacing w:before="0" w:after="0" w:line="158" w:lineRule="exact"/>
                          <w:ind w:left="76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甲组份</w:t>
                        </w:r>
                        <w:r>
                          <w:rPr>
                            <w:rFonts w:ascii="Arial Unicode MS" w:hAnsi="Arial Unicode MS" w:cs="Arial Unicode MS" w:eastAsia="Arial Unicode MS"/>
                            <w:spacing w:val="0"/>
                            <w:w w:val="100"/>
                            <w:position w:val="0"/>
                            <w:sz w:val="14"/>
                            <w:szCs w:val="14"/>
                          </w:rPr>
                        </w:r>
                      </w:p>
                    </w:tc>
                    <w:tc>
                      <w:tcPr>
                        <w:tcW w:w="868" w:type="dxa"/>
                        <w:tcBorders>
                          <w:top w:val="nil" w:sz="6" w:space="0" w:color="auto"/>
                          <w:left w:val="nil" w:sz="6" w:space="0" w:color="auto"/>
                          <w:bottom w:val="nil" w:sz="6" w:space="0" w:color="auto"/>
                          <w:right w:val="nil" w:sz="6" w:space="0" w:color="auto"/>
                        </w:tcBorders>
                        <w:shd w:val="clear" w:color="auto" w:fill="D2D2D2"/>
                      </w:tcPr>
                      <w:p>
                        <w:pPr/>
                      </w:p>
                    </w:tc>
                    <w:tc>
                      <w:tcPr>
                        <w:tcW w:w="1165" w:type="dxa"/>
                        <w:tcBorders>
                          <w:top w:val="nil" w:sz="6" w:space="0" w:color="auto"/>
                          <w:left w:val="nil" w:sz="6" w:space="0" w:color="auto"/>
                          <w:bottom w:val="nil" w:sz="6" w:space="0" w:color="auto"/>
                          <w:right w:val="nil" w:sz="6" w:space="0" w:color="auto"/>
                        </w:tcBorders>
                        <w:shd w:val="clear" w:color="auto" w:fill="D2D2D2"/>
                      </w:tcPr>
                      <w:p>
                        <w:pPr>
                          <w:spacing w:before="0" w:after="0" w:line="158" w:lineRule="exact"/>
                          <w:ind w:left="69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乙组份</w:t>
                        </w:r>
                        <w:r>
                          <w:rPr>
                            <w:rFonts w:ascii="Arial Unicode MS" w:hAnsi="Arial Unicode MS" w:cs="Arial Unicode MS" w:eastAsia="Arial Unicode MS"/>
                            <w:spacing w:val="0"/>
                            <w:w w:val="100"/>
                            <w:position w:val="0"/>
                            <w:sz w:val="14"/>
                            <w:szCs w:val="14"/>
                          </w:rPr>
                        </w:r>
                      </w:p>
                    </w:tc>
                    <w:tc>
                      <w:tcPr>
                        <w:tcW w:w="3700" w:type="dxa"/>
                        <w:tcBorders>
                          <w:top w:val="nil" w:sz="6" w:space="0" w:color="auto"/>
                          <w:left w:val="nil" w:sz="6" w:space="0" w:color="auto"/>
                          <w:bottom w:val="nil" w:sz="6" w:space="0" w:color="auto"/>
                          <w:right w:val="nil" w:sz="6" w:space="0" w:color="auto"/>
                        </w:tcBorders>
                        <w:shd w:val="clear" w:color="auto" w:fill="D2D2D2"/>
                      </w:tcPr>
                      <w:p>
                        <w:pPr/>
                      </w:p>
                    </w:tc>
                  </w:tr>
                  <w:tr>
                    <w:trPr>
                      <w:trHeight w:val="225" w:hRule="exact"/>
                    </w:trPr>
                    <w:tc>
                      <w:tcPr>
                        <w:tcW w:w="929" w:type="dxa"/>
                        <w:tcBorders>
                          <w:top w:val="nil" w:sz="6" w:space="0" w:color="auto"/>
                          <w:left w:val="nil" w:sz="6" w:space="0" w:color="auto"/>
                          <w:bottom w:val="nil" w:sz="6" w:space="0" w:color="auto"/>
                          <w:right w:val="nil" w:sz="6" w:space="0" w:color="auto"/>
                        </w:tcBorders>
                        <w:shd w:val="clear" w:color="auto" w:fill="D2D2D2"/>
                      </w:tcPr>
                      <w:p>
                        <w:pPr/>
                      </w:p>
                    </w:tc>
                    <w:tc>
                      <w:tcPr>
                        <w:tcW w:w="1221"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436" w:right="424"/>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体积</w:t>
                        </w:r>
                      </w:p>
                    </w:tc>
                    <w:tc>
                      <w:tcPr>
                        <w:tcW w:w="868"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1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包装</w:t>
                        </w:r>
                      </w:p>
                    </w:tc>
                    <w:tc>
                      <w:tcPr>
                        <w:tcW w:w="1165"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389" w:right="414"/>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体积</w:t>
                        </w:r>
                      </w:p>
                    </w:tc>
                    <w:tc>
                      <w:tcPr>
                        <w:tcW w:w="3700"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11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包装</w:t>
                        </w:r>
                      </w:p>
                    </w:tc>
                  </w:tr>
                  <w:tr>
                    <w:trPr>
                      <w:trHeight w:val="795" w:hRule="exact"/>
                    </w:trPr>
                    <w:tc>
                      <w:tcPr>
                        <w:tcW w:w="929"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7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20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4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p>
                        <w:pPr>
                          <w:spacing w:before="2" w:after="0" w:line="240" w:lineRule="auto"/>
                          <w:ind w:left="4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1221"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41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16</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38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p>
                        <w:pPr>
                          <w:spacing w:before="2" w:after="0" w:line="240" w:lineRule="auto"/>
                          <w:ind w:left="32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0.8</w:t>
                        </w:r>
                        <w:r>
                          <w:rPr>
                            <w:rFonts w:ascii="Arial Unicode MS" w:hAnsi="Arial Unicode MS" w:cs="Arial Unicode MS" w:eastAsia="Arial Unicode MS"/>
                            <w:spacing w:val="-2"/>
                            <w:w w:val="100"/>
                            <w:sz w:val="14"/>
                            <w:szCs w:val="14"/>
                          </w:rPr>
                          <w:t> </w:t>
                        </w:r>
                        <w:r>
                          <w:rPr>
                            <w:rFonts w:ascii="Arial Unicode MS" w:hAnsi="Arial Unicode MS" w:cs="Arial Unicode MS" w:eastAsia="Arial Unicode MS"/>
                            <w:spacing w:val="0"/>
                            <w:w w:val="100"/>
                            <w:sz w:val="14"/>
                            <w:szCs w:val="14"/>
                          </w:rPr>
                          <w:t>美加仑</w:t>
                        </w:r>
                      </w:p>
                    </w:tc>
                    <w:tc>
                      <w:tcPr>
                        <w:tcW w:w="868"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6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20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3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p>
                        <w:pPr>
                          <w:spacing w:before="2" w:after="0" w:line="240" w:lineRule="auto"/>
                          <w:ind w:left="3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1165"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391" w:right="296"/>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4</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35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p>
                        <w:pPr>
                          <w:spacing w:before="2" w:after="0" w:line="240" w:lineRule="auto"/>
                          <w:ind w:left="263" w:right="167"/>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0.2</w:t>
                        </w:r>
                        <w:r>
                          <w:rPr>
                            <w:rFonts w:ascii="Arial Unicode MS" w:hAnsi="Arial Unicode MS" w:cs="Arial Unicode MS" w:eastAsia="Arial Unicode MS"/>
                            <w:spacing w:val="-2"/>
                            <w:w w:val="100"/>
                            <w:sz w:val="14"/>
                            <w:szCs w:val="14"/>
                          </w:rPr>
                          <w:t> </w:t>
                        </w:r>
                        <w:r>
                          <w:rPr>
                            <w:rFonts w:ascii="Arial Unicode MS" w:hAnsi="Arial Unicode MS" w:cs="Arial Unicode MS" w:eastAsia="Arial Unicode MS"/>
                            <w:spacing w:val="0"/>
                            <w:w w:val="100"/>
                            <w:sz w:val="14"/>
                            <w:szCs w:val="14"/>
                          </w:rPr>
                          <w:t>美加仑</w:t>
                        </w:r>
                      </w:p>
                    </w:tc>
                    <w:tc>
                      <w:tcPr>
                        <w:tcW w:w="3700"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12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5</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53"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p>
                        <w:pPr>
                          <w:spacing w:before="2" w:after="0" w:line="240" w:lineRule="auto"/>
                          <w:ind w:left="53"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美夸脱</w:t>
                        </w:r>
                      </w:p>
                    </w:tc>
                  </w:tr>
                </w:tbl>
                <w:p>
                  <w:pPr>
                    <w:spacing w:before="0" w:after="0" w:line="240" w:lineRule="auto"/>
                    <w:jc w:val="left"/>
                  </w:pPr>
                </w:p>
              </w:txbxContent>
            </v:textbox>
            <w10:wrap type="none"/>
          </v:shape>
        </w:pict>
      </w:r>
      <w:r>
        <w:rPr>
          <w:rFonts w:ascii="Arial Unicode MS" w:hAnsi="Arial Unicode MS" w:cs="Arial Unicode MS" w:eastAsia="Arial Unicode MS"/>
          <w:spacing w:val="0"/>
          <w:w w:val="100"/>
          <w:position w:val="0"/>
          <w:sz w:val="22"/>
          <w:szCs w:val="22"/>
        </w:rPr>
        <w:t>包装规格</w:t>
      </w:r>
      <w:r>
        <w:rPr>
          <w:rFonts w:ascii="Arial Unicode MS" w:hAnsi="Arial Unicode MS" w:cs="Arial Unicode MS" w:eastAsia="Arial Unicode MS"/>
          <w:spacing w:val="0"/>
          <w:w w:val="100"/>
          <w:position w:val="0"/>
          <w:sz w:val="22"/>
          <w:szCs w:val="22"/>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10" w:after="0" w:line="240" w:lineRule="exact"/>
        <w:jc w:val="left"/>
        <w:rPr>
          <w:sz w:val="24"/>
          <w:szCs w:val="24"/>
        </w:rPr>
      </w:pPr>
      <w:r>
        <w:rPr>
          <w:sz w:val="24"/>
          <w:szCs w:val="24"/>
        </w:rPr>
      </w:r>
    </w:p>
    <w:p>
      <w:pPr>
        <w:spacing w:before="0" w:after="0" w:line="215" w:lineRule="exact"/>
        <w:ind w:left="229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有关其它包装尺寸，请向国际油漆</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(International</w:t>
      </w:r>
      <w:r>
        <w:rPr>
          <w:rFonts w:ascii="Arial Unicode MS" w:hAnsi="Arial Unicode MS" w:cs="Arial Unicode MS" w:eastAsia="Arial Unicode MS"/>
          <w:spacing w:val="-8"/>
          <w:w w:val="100"/>
          <w:position w:val="0"/>
          <w:sz w:val="14"/>
          <w:szCs w:val="14"/>
        </w:rPr>
        <w:t> </w:t>
      </w:r>
      <w:r>
        <w:rPr>
          <w:rFonts w:ascii="Arial Unicode MS" w:hAnsi="Arial Unicode MS" w:cs="Arial Unicode MS" w:eastAsia="Arial Unicode MS"/>
          <w:spacing w:val="0"/>
          <w:w w:val="100"/>
          <w:position w:val="0"/>
          <w:sz w:val="14"/>
          <w:szCs w:val="14"/>
        </w:rPr>
        <w:t>Paint)</w:t>
      </w:r>
      <w:r>
        <w:rPr>
          <w:rFonts w:ascii="Arial Unicode MS" w:hAnsi="Arial Unicode MS" w:cs="Arial Unicode MS" w:eastAsia="Arial Unicode MS"/>
          <w:spacing w:val="-4"/>
          <w:w w:val="100"/>
          <w:position w:val="0"/>
          <w:sz w:val="14"/>
          <w:szCs w:val="14"/>
        </w:rPr>
        <w:t> </w:t>
      </w:r>
      <w:r>
        <w:rPr>
          <w:rFonts w:ascii="Arial Unicode MS" w:hAnsi="Arial Unicode MS" w:cs="Arial Unicode MS" w:eastAsia="Arial Unicode MS"/>
          <w:spacing w:val="0"/>
          <w:w w:val="100"/>
          <w:position w:val="0"/>
          <w:sz w:val="14"/>
          <w:szCs w:val="14"/>
        </w:rPr>
        <w:t>咨询。</w:t>
      </w:r>
      <w:r>
        <w:rPr>
          <w:rFonts w:ascii="Arial Unicode MS" w:hAnsi="Arial Unicode MS" w:cs="Arial Unicode MS" w:eastAsia="Arial Unicode MS"/>
          <w:spacing w:val="0"/>
          <w:w w:val="100"/>
          <w:position w:val="0"/>
          <w:sz w:val="14"/>
          <w:szCs w:val="14"/>
        </w:rPr>
      </w:r>
    </w:p>
    <w:p>
      <w:pPr>
        <w:tabs>
          <w:tab w:pos="2740" w:val="left"/>
          <w:tab w:pos="4540" w:val="left"/>
        </w:tabs>
        <w:spacing w:before="8" w:after="0" w:line="240" w:lineRule="auto"/>
        <w:ind w:left="137" w:right="-20"/>
        <w:jc w:val="left"/>
        <w:rPr>
          <w:rFonts w:ascii="Arial Unicode MS" w:hAnsi="Arial Unicode MS" w:cs="Arial Unicode MS" w:eastAsia="Arial Unicode MS"/>
          <w:sz w:val="14"/>
          <w:szCs w:val="14"/>
        </w:rPr>
      </w:pPr>
      <w:r>
        <w:rPr/>
        <w:pict>
          <v:group style="position:absolute;margin-left:37.849998pt;margin-top:6.963195pt;width:522.75pt;height:53.1179pt;mso-position-horizontal-relative:page;mso-position-vertical-relative:paragraph;z-index:-381" coordorigin="757,139" coordsize="10455,1062">
            <v:shape style="position:absolute;left:757;top:139;width:10455;height:1062" coordorigin="757,139" coordsize="10455,1062" path="m757,1202l11212,1202,11212,139,757,139,757,1202xe" filled="t" fillcolor="#D2D2D2" stroked="f">
              <v:path arrowok="t"/>
              <v:fill/>
            </v:shape>
            <w10:wrap type="none"/>
          </v:group>
        </w:pict>
      </w:r>
      <w:r>
        <w:rPr>
          <w:rFonts w:ascii="Arial Unicode MS" w:hAnsi="Arial Unicode MS" w:cs="Arial Unicode MS" w:eastAsia="Arial Unicode MS"/>
          <w:spacing w:val="0"/>
          <w:w w:val="100"/>
          <w:position w:val="-6"/>
          <w:sz w:val="22"/>
          <w:szCs w:val="22"/>
        </w:rPr>
        <w:t>单位装运重量</w:t>
        <w:tab/>
      </w:r>
      <w:r>
        <w:rPr>
          <w:rFonts w:ascii="Arial Unicode MS" w:hAnsi="Arial Unicode MS" w:cs="Arial Unicode MS" w:eastAsia="Arial Unicode MS"/>
          <w:spacing w:val="0"/>
          <w:w w:val="100"/>
          <w:position w:val="-6"/>
          <w:sz w:val="22"/>
          <w:szCs w:val="22"/>
        </w:rPr>
      </w:r>
      <w:r>
        <w:rPr>
          <w:rFonts w:ascii="Arial Unicode MS" w:hAnsi="Arial Unicode MS" w:cs="Arial Unicode MS" w:eastAsia="Arial Unicode MS"/>
          <w:spacing w:val="0"/>
          <w:w w:val="100"/>
          <w:position w:val="0"/>
          <w:sz w:val="14"/>
          <w:szCs w:val="14"/>
        </w:rPr>
        <w:t>包装规格</w:t>
        <w:tab/>
      </w:r>
      <w:r>
        <w:rPr>
          <w:rFonts w:ascii="Arial Unicode MS" w:hAnsi="Arial Unicode MS" w:cs="Arial Unicode MS" w:eastAsia="Arial Unicode MS"/>
          <w:spacing w:val="0"/>
          <w:w w:val="100"/>
          <w:position w:val="0"/>
          <w:sz w:val="14"/>
          <w:szCs w:val="14"/>
        </w:rPr>
        <w:t>包装重量</w:t>
      </w:r>
    </w:p>
    <w:p>
      <w:pPr>
        <w:tabs>
          <w:tab w:pos="4520" w:val="left"/>
        </w:tabs>
        <w:spacing w:before="0" w:after="0" w:line="178" w:lineRule="exact"/>
        <w:ind w:left="278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公升</w:t>
        <w:tab/>
      </w:r>
      <w:r>
        <w:rPr>
          <w:rFonts w:ascii="Arial Unicode MS" w:hAnsi="Arial Unicode MS" w:cs="Arial Unicode MS" w:eastAsia="Arial Unicode MS"/>
          <w:spacing w:val="0"/>
          <w:w w:val="100"/>
          <w:sz w:val="14"/>
          <w:szCs w:val="14"/>
        </w:rPr>
        <w:t>34.7</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千克</w:t>
      </w:r>
    </w:p>
    <w:p>
      <w:pPr>
        <w:tabs>
          <w:tab w:pos="4600" w:val="left"/>
        </w:tabs>
        <w:spacing w:before="2" w:after="0" w:line="240" w:lineRule="auto"/>
        <w:ind w:left="275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tab/>
      </w:r>
      <w:r>
        <w:rPr>
          <w:rFonts w:ascii="Arial Unicode MS" w:hAnsi="Arial Unicode MS" w:cs="Arial Unicode MS" w:eastAsia="Arial Unicode MS"/>
          <w:spacing w:val="0"/>
          <w:w w:val="100"/>
          <w:sz w:val="14"/>
          <w:szCs w:val="14"/>
        </w:rPr>
        <w:t>86.7</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磅</w:t>
      </w:r>
    </w:p>
    <w:p>
      <w:pPr>
        <w:tabs>
          <w:tab w:pos="4660" w:val="left"/>
        </w:tabs>
        <w:spacing w:before="2" w:after="0" w:line="233" w:lineRule="exact"/>
        <w:ind w:left="275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1</w:t>
      </w:r>
      <w:r>
        <w:rPr>
          <w:rFonts w:ascii="Arial Unicode MS" w:hAnsi="Arial Unicode MS" w:cs="Arial Unicode MS" w:eastAsia="Arial Unicode MS"/>
          <w:spacing w:val="0"/>
          <w:w w:val="100"/>
          <w:position w:val="-1"/>
          <w:sz w:val="14"/>
          <w:szCs w:val="14"/>
        </w:rPr>
        <w:t> </w:t>
      </w:r>
      <w:r>
        <w:rPr>
          <w:rFonts w:ascii="Arial Unicode MS" w:hAnsi="Arial Unicode MS" w:cs="Arial Unicode MS" w:eastAsia="Arial Unicode MS"/>
          <w:spacing w:val="0"/>
          <w:w w:val="100"/>
          <w:position w:val="-1"/>
          <w:sz w:val="14"/>
          <w:szCs w:val="14"/>
        </w:rPr>
        <w:t>美加仑</w:t>
        <w:tab/>
      </w:r>
      <w:r>
        <w:rPr>
          <w:rFonts w:ascii="Arial Unicode MS" w:hAnsi="Arial Unicode MS" w:cs="Arial Unicode MS" w:eastAsia="Arial Unicode MS"/>
          <w:spacing w:val="0"/>
          <w:w w:val="100"/>
          <w:position w:val="-1"/>
          <w:sz w:val="14"/>
          <w:szCs w:val="14"/>
        </w:rPr>
        <w:t>18</w:t>
      </w:r>
      <w:r>
        <w:rPr>
          <w:rFonts w:ascii="Arial Unicode MS" w:hAnsi="Arial Unicode MS" w:cs="Arial Unicode MS" w:eastAsia="Arial Unicode MS"/>
          <w:spacing w:val="0"/>
          <w:w w:val="100"/>
          <w:position w:val="-1"/>
          <w:sz w:val="14"/>
          <w:szCs w:val="14"/>
        </w:rPr>
        <w:t> </w:t>
      </w:r>
      <w:r>
        <w:rPr>
          <w:rFonts w:ascii="Arial Unicode MS" w:hAnsi="Arial Unicode MS" w:cs="Arial Unicode MS" w:eastAsia="Arial Unicode MS"/>
          <w:spacing w:val="0"/>
          <w:w w:val="100"/>
          <w:position w:val="-1"/>
          <w:sz w:val="14"/>
          <w:szCs w:val="14"/>
        </w:rPr>
        <w:t>磅</w:t>
      </w:r>
      <w:r>
        <w:rPr>
          <w:rFonts w:ascii="Arial Unicode MS" w:hAnsi="Arial Unicode MS" w:cs="Arial Unicode MS" w:eastAsia="Arial Unicode MS"/>
          <w:spacing w:val="0"/>
          <w:w w:val="100"/>
          <w:position w:val="0"/>
          <w:sz w:val="14"/>
          <w:szCs w:val="14"/>
        </w:rPr>
      </w:r>
    </w:p>
    <w:p>
      <w:pPr>
        <w:spacing w:before="14" w:after="0" w:line="200" w:lineRule="exact"/>
        <w:jc w:val="left"/>
        <w:rPr>
          <w:sz w:val="20"/>
          <w:szCs w:val="20"/>
        </w:rPr>
      </w:pPr>
      <w:r>
        <w:rPr>
          <w:sz w:val="20"/>
          <w:szCs w:val="20"/>
        </w:rPr>
      </w:r>
    </w:p>
    <w:p>
      <w:pPr>
        <w:tabs>
          <w:tab w:pos="2320" w:val="left"/>
          <w:tab w:pos="3820" w:val="left"/>
        </w:tabs>
        <w:spacing w:before="8" w:after="0" w:line="158" w:lineRule="auto"/>
        <w:ind w:left="3827" w:right="212" w:hanging="3690"/>
        <w:jc w:val="left"/>
        <w:rPr>
          <w:rFonts w:ascii="Arial Unicode MS" w:hAnsi="Arial Unicode MS" w:cs="Arial Unicode MS" w:eastAsia="Arial Unicode MS"/>
          <w:sz w:val="16"/>
          <w:szCs w:val="16"/>
        </w:rPr>
      </w:pPr>
      <w:r>
        <w:rPr/>
        <w:pict>
          <v:group style="position:absolute;margin-left:37.349998pt;margin-top:1.997404pt;width:524.5pt;height:27.6833pt;mso-position-horizontal-relative:page;mso-position-vertical-relative:paragraph;z-index:-380" coordorigin="747,40" coordsize="10490,554">
            <v:group style="position:absolute;left:757;top:50;width:10470;height:534" coordorigin="757,50" coordsize="10470,534">
              <v:shape style="position:absolute;left:757;top:50;width:10470;height:534" coordorigin="757,50" coordsize="10470,534" path="m757,584l11227,584,11227,50,757,50,757,584xe" filled="t" fillcolor="#D2D2D2" stroked="f">
                <v:path arrowok="t"/>
                <v:fill/>
              </v:shape>
            </v:group>
            <v:group style="position:absolute;left:2917;top:569;width:8280;height:2" coordorigin="2917,569" coordsize="8280,2">
              <v:shape style="position:absolute;left:2917;top:569;width:8280;height:2" coordorigin="2917,569" coordsize="8280,0" path="m2917,569l11197,569e" filled="f" stroked="t" strokeweight="1.5pt" strokecolor="#000000">
                <v:path arrowok="t"/>
              </v:shape>
            </v:group>
            <w10:wrap type="none"/>
          </v:group>
        </w:pict>
      </w:r>
      <w:r>
        <w:rPr>
          <w:rFonts w:ascii="Arial Unicode MS" w:hAnsi="Arial Unicode MS" w:cs="Arial Unicode MS" w:eastAsia="Arial Unicode MS"/>
          <w:spacing w:val="0"/>
          <w:w w:val="100"/>
          <w:position w:val="-4"/>
          <w:sz w:val="22"/>
          <w:szCs w:val="22"/>
        </w:rPr>
        <w:t>贮存</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保存期限</w:t>
        <w:tab/>
      </w:r>
      <w:r>
        <w:rPr>
          <w:rFonts w:ascii="Arial Unicode MS" w:hAnsi="Arial Unicode MS" w:cs="Arial Unicode MS" w:eastAsia="Arial Unicode MS"/>
          <w:spacing w:val="0"/>
          <w:w w:val="100"/>
          <w:position w:val="0"/>
          <w:sz w:val="16"/>
          <w:szCs w:val="16"/>
        </w:rPr>
        <w:t>当贮存在温度为</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4-38°C</w:t>
      </w:r>
      <w:r>
        <w:rPr>
          <w:rFonts w:ascii="Arial Unicode MS" w:hAnsi="Arial Unicode MS" w:cs="Arial Unicode MS" w:eastAsia="Arial Unicode MS"/>
          <w:spacing w:val="-5"/>
          <w:w w:val="100"/>
          <w:position w:val="0"/>
          <w:sz w:val="16"/>
          <w:szCs w:val="16"/>
        </w:rPr>
        <w:t> </w:t>
      </w:r>
      <w:r>
        <w:rPr>
          <w:rFonts w:ascii="Arial Unicode MS" w:hAnsi="Arial Unicode MS" w:cs="Arial Unicode MS" w:eastAsia="Arial Unicode MS"/>
          <w:spacing w:val="0"/>
          <w:w w:val="100"/>
          <w:position w:val="0"/>
          <w:sz w:val="16"/>
          <w:szCs w:val="16"/>
        </w:rPr>
        <w:t>的保护性环境中时，从生产日期算起，最短为</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12</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个月。</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此后需复查。</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贮存在阴凉、干燥的场所，远离热源和火源。</w:t>
      </w:r>
    </w:p>
    <w:p>
      <w:pPr>
        <w:spacing w:before="10" w:after="0" w:line="120" w:lineRule="exact"/>
        <w:jc w:val="left"/>
        <w:rPr>
          <w:sz w:val="12"/>
          <w:szCs w:val="12"/>
        </w:rPr>
      </w:pPr>
      <w:r>
        <w:rPr>
          <w:sz w:val="12"/>
          <w:szCs w:val="12"/>
        </w:rPr>
      </w:r>
    </w:p>
    <w:p>
      <w:pPr>
        <w:spacing w:before="0" w:after="0" w:line="200" w:lineRule="exact"/>
        <w:jc w:val="left"/>
        <w:rPr>
          <w:sz w:val="20"/>
          <w:szCs w:val="20"/>
        </w:rPr>
      </w:pPr>
      <w:r>
        <w:rPr>
          <w:sz w:val="20"/>
          <w:szCs w:val="20"/>
        </w:rPr>
      </w:r>
    </w:p>
    <w:p>
      <w:pPr>
        <w:spacing w:line="200" w:lineRule="exact" w:after="0"/>
        <w:jc w:val="left"/>
        <w:rPr>
          <w:sz w:val="20"/>
          <w:szCs w:val="20"/>
        </w:rPr>
        <w:sectPr>
          <w:pgSz w:w="11900" w:h="16820"/>
          <w:pgMar w:header="299" w:footer="1582" w:top="1040" w:bottom="1780" w:left="620" w:right="520"/>
        </w:sectPr>
      </w:pPr>
    </w:p>
    <w:p>
      <w:pPr>
        <w:spacing w:before="0" w:after="0" w:line="299" w:lineRule="exact"/>
        <w:ind w:left="11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全球供应情况</w:t>
      </w:r>
    </w:p>
    <w:p>
      <w:pPr>
        <w:spacing w:before="7" w:after="0" w:line="185" w:lineRule="auto"/>
        <w:ind w:right="5497"/>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KRA859</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黑色仅可在美国买到。</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请向国际油漆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咨询。</w:t>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1438" w:space="840"/>
            <w:col w:w="8482"/>
          </w:cols>
        </w:sectPr>
      </w:pPr>
    </w:p>
    <w:p>
      <w:pPr>
        <w:spacing w:before="3" w:after="0" w:line="180" w:lineRule="exact"/>
        <w:jc w:val="left"/>
        <w:rPr>
          <w:sz w:val="18"/>
          <w:szCs w:val="18"/>
        </w:rPr>
      </w:pPr>
      <w:r>
        <w:rPr>
          <w:sz w:val="18"/>
          <w:szCs w:val="18"/>
        </w:rPr>
      </w:r>
    </w:p>
    <w:p>
      <w:pPr>
        <w:spacing w:line="180" w:lineRule="exact" w:after="0"/>
        <w:jc w:val="left"/>
        <w:rPr>
          <w:sz w:val="18"/>
          <w:szCs w:val="18"/>
        </w:rPr>
        <w:sectPr>
          <w:type w:val="continuous"/>
          <w:pgSz w:w="11900" w:h="16820"/>
          <w:pgMar w:top="1040" w:bottom="1780" w:left="620" w:right="520"/>
        </w:sectPr>
      </w:pPr>
    </w:p>
    <w:p>
      <w:pPr>
        <w:spacing w:before="0" w:after="0" w:line="306" w:lineRule="exact"/>
        <w:ind w:left="117" w:right="-73"/>
        <w:jc w:val="left"/>
        <w:rPr>
          <w:rFonts w:ascii="Arial Unicode MS" w:hAnsi="Arial Unicode MS" w:cs="Arial Unicode MS" w:eastAsia="Arial Unicode MS"/>
          <w:sz w:val="22"/>
          <w:szCs w:val="22"/>
        </w:rPr>
      </w:pPr>
      <w:r>
        <w:rPr/>
        <w:pict>
          <v:group style="position:absolute;margin-left:144.860001pt;margin-top:-3.419703pt;width:414pt;height:.1pt;mso-position-horizontal-relative:page;mso-position-vertical-relative:paragraph;z-index:-379" coordorigin="2897,-68" coordsize="8280,2">
            <v:shape style="position:absolute;left:2897;top:-68;width:8280;height:2" coordorigin="2897,-68" coordsize="8280,0" path="m2897,-68l11177,-68e" filled="f" stroked="t" strokeweight="1.5pt" strokecolor="#000000">
              <v:path arrowok="t"/>
            </v:shape>
            <w10:wrap type="none"/>
          </v:group>
        </w:pict>
      </w:r>
      <w:r>
        <w:rPr>
          <w:rFonts w:ascii="Arial Unicode MS" w:hAnsi="Arial Unicode MS" w:cs="Arial Unicode MS" w:eastAsia="Arial Unicode MS"/>
          <w:spacing w:val="0"/>
          <w:w w:val="100"/>
          <w:sz w:val="22"/>
          <w:szCs w:val="22"/>
        </w:rPr>
        <w:t>重要声明</w:t>
      </w:r>
    </w:p>
    <w:p>
      <w:pPr>
        <w:spacing w:before="24" w:after="0" w:line="185" w:lineRule="auto"/>
        <w:ind w:left="6" w:right="272"/>
        <w:jc w:val="left"/>
        <w:rPr>
          <w:rFonts w:ascii="Arial Unicode MS" w:hAnsi="Arial Unicode MS" w:cs="Arial Unicode MS" w:eastAsia="Arial Unicode MS"/>
          <w:sz w:val="12"/>
          <w:szCs w:val="12"/>
        </w:rPr>
      </w:pPr>
      <w:r>
        <w:rPr/>
        <w:br w:type="column"/>
      </w:r>
      <w:r>
        <w:rPr>
          <w:rFonts w:ascii="Arial Unicode MS" w:hAnsi="Arial Unicode MS" w:cs="Arial Unicode MS" w:eastAsia="Arial Unicode MS"/>
          <w:spacing w:val="0"/>
          <w:w w:val="100"/>
          <w:sz w:val="12"/>
          <w:szCs w:val="12"/>
        </w:rPr>
        <w:t>该产品说明书中所提供的资料并非详尽无遗，任何人因任何原因，未首先经我们书面确认而使用本说明书特别推荐以外的任何产品，则自行承担产品对其预</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期目的适用性这一风险。虽然我们竭力保证我们对产品所提供的所有建议(无论在本说明书中或以其它方式提供的)均正确无误，但我们无法控制底材的质量</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或状况或影响该产品施工和使用的多种因素。因此，除非我们特地书面同意这种做法，否则我们对于所产生的任何产品性能问题不负责任，或因使用产品而</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导致的损失或损坏在法律允许的最大范围内概不负责。</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所有供应的产品及提供的技术指导隶属于我们的标准销售条款和条件。您应获取本文件的副本并仔</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细阅读。该产品说明书所包含资料将根据经验及我们不断开发产品的政策随时进行修改。</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在使用产品前，与当地“国际油漆代表”一起检查所持产品说明书为</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最新版本是用户的职责。</w:t>
      </w:r>
    </w:p>
    <w:p>
      <w:pPr>
        <w:spacing w:before="1" w:after="0" w:line="120" w:lineRule="exact"/>
        <w:jc w:val="left"/>
        <w:rPr>
          <w:sz w:val="12"/>
          <w:szCs w:val="12"/>
        </w:rPr>
      </w:pPr>
      <w:r>
        <w:rPr>
          <w:sz w:val="12"/>
          <w:szCs w:val="12"/>
        </w:rPr>
      </w:r>
    </w:p>
    <w:p>
      <w:pPr>
        <w:spacing w:before="0" w:after="0" w:line="240" w:lineRule="auto"/>
        <w:ind w:right="-20"/>
        <w:jc w:val="left"/>
        <w:rPr>
          <w:rFonts w:ascii="Arial Unicode MS" w:hAnsi="Arial Unicode MS" w:cs="Arial Unicode MS" w:eastAsia="Arial Unicode MS"/>
          <w:sz w:val="12"/>
          <w:szCs w:val="12"/>
        </w:rPr>
      </w:pPr>
      <w:r>
        <w:rPr/>
        <w:pict>
          <v:shape style="width:58.54pt;height:7pt;mso-position-horizontal-relative:char;mso-position-vertical-relative:line" type="#_x0000_t75">
            <v:imagedata r:id="rId8" o:title=""/>
          </v:shape>
        </w:pict>
      </w:r>
      <w:r>
        <w:rPr>
          <w:rFonts w:ascii="Arial Unicode MS" w:hAnsi="Arial Unicode MS" w:cs="Arial Unicode MS" w:eastAsia="Arial Unicode MS"/>
          <w:spacing w:val="0"/>
          <w:w w:val="100"/>
          <w:position w:val="0"/>
          <w:sz w:val="12"/>
          <w:szCs w:val="12"/>
        </w:rPr>
        <w:t>以及所有本产品说明书中提到的产品名称均为AkzoNobel（阿克苏诺贝尔）之商标或已许可给AkzoNobel（阿克苏诺贝尔）。</w:t>
      </w:r>
      <w:r>
        <w:rPr>
          <w:rFonts w:ascii="Arial Unicode MS" w:hAnsi="Arial Unicode MS" w:cs="Arial Unicode MS" w:eastAsia="Arial Unicode MS"/>
          <w:spacing w:val="0"/>
          <w:w w:val="100"/>
          <w:position w:val="0"/>
          <w:sz w:val="12"/>
          <w:szCs w:val="12"/>
        </w:rPr>
      </w:r>
    </w:p>
    <w:p>
      <w:pPr>
        <w:spacing w:before="9" w:after="0" w:line="110" w:lineRule="exact"/>
        <w:jc w:val="left"/>
        <w:rPr>
          <w:sz w:val="11"/>
          <w:szCs w:val="11"/>
        </w:rPr>
      </w:pPr>
      <w:r>
        <w:rPr>
          <w:sz w:val="11"/>
          <w:szCs w:val="11"/>
        </w:rPr>
      </w:r>
    </w:p>
    <w:p>
      <w:pPr>
        <w:spacing w:before="0" w:after="0" w:line="240" w:lineRule="auto"/>
        <w:ind w:left="6" w:right="-20"/>
        <w:jc w:val="left"/>
        <w:rPr>
          <w:rFonts w:ascii="Arial" w:hAnsi="Arial" w:cs="Arial" w:eastAsia="Arial"/>
          <w:sz w:val="12"/>
          <w:szCs w:val="12"/>
        </w:rPr>
      </w:pPr>
      <w:r>
        <w:rPr>
          <w:rFonts w:ascii="Arial" w:hAnsi="Arial" w:cs="Arial" w:eastAsia="Arial"/>
          <w:b/>
          <w:bCs/>
          <w:spacing w:val="0"/>
          <w:w w:val="100"/>
          <w:sz w:val="12"/>
          <w:szCs w:val="12"/>
        </w:rPr>
        <w:t>©</w:t>
      </w:r>
      <w:r>
        <w:rPr>
          <w:rFonts w:ascii="Arial" w:hAnsi="Arial" w:cs="Arial" w:eastAsia="Arial"/>
          <w:b/>
          <w:bCs/>
          <w:spacing w:val="-1"/>
          <w:w w:val="100"/>
          <w:sz w:val="12"/>
          <w:szCs w:val="12"/>
        </w:rPr>
        <w:t> </w:t>
      </w:r>
      <w:r>
        <w:rPr>
          <w:rFonts w:ascii="Arial" w:hAnsi="Arial" w:cs="Arial" w:eastAsia="Arial"/>
          <w:b/>
          <w:bCs/>
          <w:spacing w:val="0"/>
          <w:w w:val="100"/>
          <w:sz w:val="12"/>
          <w:szCs w:val="12"/>
        </w:rPr>
        <w:t>AkzoNobel,</w:t>
      </w:r>
      <w:r>
        <w:rPr>
          <w:rFonts w:ascii="Arial" w:hAnsi="Arial" w:cs="Arial" w:eastAsia="Arial"/>
          <w:b/>
          <w:bCs/>
          <w:spacing w:val="-8"/>
          <w:w w:val="100"/>
          <w:sz w:val="12"/>
          <w:szCs w:val="12"/>
        </w:rPr>
        <w:t> </w:t>
      </w:r>
      <w:r>
        <w:rPr>
          <w:rFonts w:ascii="Arial" w:hAnsi="Arial" w:cs="Arial" w:eastAsia="Arial"/>
          <w:b/>
          <w:bCs/>
          <w:spacing w:val="0"/>
          <w:w w:val="100"/>
          <w:sz w:val="12"/>
          <w:szCs w:val="12"/>
        </w:rPr>
        <w:t>2009</w:t>
      </w:r>
      <w:r>
        <w:rPr>
          <w:rFonts w:ascii="Arial" w:hAnsi="Arial" w:cs="Arial" w:eastAsia="Arial"/>
          <w:spacing w:val="0"/>
          <w:w w:val="100"/>
          <w:sz w:val="12"/>
          <w:szCs w:val="12"/>
        </w:rPr>
      </w:r>
    </w:p>
    <w:p>
      <w:pPr>
        <w:spacing w:before="27" w:after="0" w:line="240" w:lineRule="auto"/>
        <w:ind w:left="20" w:right="-20"/>
        <w:jc w:val="left"/>
        <w:rPr>
          <w:rFonts w:ascii="Arial" w:hAnsi="Arial" w:cs="Arial" w:eastAsia="Arial"/>
          <w:sz w:val="18"/>
          <w:szCs w:val="18"/>
        </w:rPr>
      </w:pPr>
      <w:r>
        <w:rPr>
          <w:rFonts w:ascii="Arial" w:hAnsi="Arial" w:cs="Arial" w:eastAsia="Arial"/>
          <w:color w:val="0000FF"/>
          <w:sz w:val="18"/>
          <w:szCs w:val="18"/>
        </w:rPr>
      </w:r>
      <w:hyperlink r:id="rId9">
        <w:r>
          <w:rPr>
            <w:rFonts w:ascii="Arial" w:hAnsi="Arial" w:cs="Arial" w:eastAsia="Arial"/>
            <w:color w:val="0000FF"/>
            <w:spacing w:val="0"/>
            <w:w w:val="100"/>
            <w:sz w:val="18"/>
            <w:szCs w:val="18"/>
            <w:u w:val="single" w:color="0000FF"/>
          </w:rPr>
          <w:t>www.international-marine.com</w:t>
        </w:r>
        <w:r>
          <w:rPr>
            <w:rFonts w:ascii="Arial" w:hAnsi="Arial" w:cs="Arial" w:eastAsia="Arial"/>
            <w:color w:val="0000FF"/>
            <w:spacing w:val="0"/>
            <w:w w:val="100"/>
            <w:sz w:val="18"/>
            <w:szCs w:val="18"/>
          </w:rPr>
        </w:r>
        <w:r>
          <w:rPr>
            <w:rFonts w:ascii="Arial" w:hAnsi="Arial" w:cs="Arial" w:eastAsia="Arial"/>
            <w:color w:val="000000"/>
            <w:spacing w:val="0"/>
            <w:w w:val="100"/>
            <w:sz w:val="18"/>
            <w:szCs w:val="18"/>
          </w:rPr>
        </w:r>
      </w:hyperlink>
    </w:p>
    <w:sectPr>
      <w:type w:val="continuous"/>
      <w:pgSz w:w="11900" w:h="16820"/>
      <w:pgMar w:top="1040" w:bottom="1780" w:left="620" w:right="520"/>
      <w:cols w:num="2" w:equalWidth="0">
        <w:col w:w="998" w:space="1274"/>
        <w:col w:w="848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Unicode MS">
    <w:altName w:val="Arial Unicode MS"/>
    <w:charset w:val="86"/>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498.23999pt;margin-top:751.900024pt;width:60.22pt;height:72pt;mso-position-horizontal-relative:page;mso-position-vertical-relative:page;z-index:-390" type="#_x0000_t75">
          <v:imagedata r:id="rId1" o:title=""/>
        </v:shape>
      </w:pict>
    </w:r>
    <w:r>
      <w:rPr/>
      <w:pict>
        <v:group style="position:absolute;margin-left:36.860001pt;margin-top:780.25pt;width:455.53pt;height:.1pt;mso-position-horizontal-relative:page;mso-position-vertical-relative:page;z-index:-389" coordorigin="737,15605" coordsize="9111,2">
          <v:shape style="position:absolute;left:737;top:15605;width:9111;height:2" coordorigin="737,15605" coordsize="9111,0" path="m737,15605l9848,15605e" filled="f" stroked="t" strokeweight=".5pt" strokecolor="#A9A9A9">
            <v:path arrowok="t"/>
          </v:shape>
          <w10:wrap type="none"/>
        </v:group>
      </w:pict>
    </w:r>
    <w:r>
      <w:rPr/>
      <w:pict>
        <v:shape style="position:absolute;margin-left:35.857868pt;margin-top:764.050842pt;width:96.309991pt;height:52.800713pt;mso-position-horizontal-relative:page;mso-position-vertical-relative:page;z-index:-388" type="#_x0000_t202" filled="f" stroked="f">
          <v:textbox inset="0,0,0,0">
            <w:txbxContent>
              <w:p>
                <w:pPr>
                  <w:spacing w:before="0" w:after="0" w:line="265" w:lineRule="exact"/>
                  <w:ind w:left="40" w:right="-56"/>
                  <w:jc w:val="left"/>
                  <w:rPr>
                    <w:rFonts w:ascii="Arial" w:hAnsi="Arial" w:cs="Arial" w:eastAsia="Arial"/>
                    <w:sz w:val="24"/>
                    <w:szCs w:val="24"/>
                  </w:rPr>
                </w:pPr>
                <w:r>
                  <w:rPr>
                    <w:rFonts w:ascii="Arial" w:hAnsi="Arial" w:cs="Arial" w:eastAsia="Arial"/>
                    <w:b/>
                    <w:bCs/>
                    <w:color w:val="7F7F7F"/>
                    <w:spacing w:val="0"/>
                    <w:w w:val="100"/>
                    <w:sz w:val="24"/>
                    <w:szCs w:val="24"/>
                  </w:rPr>
                  <w:t>Marine</w:t>
                </w:r>
                <w:r>
                  <w:rPr>
                    <w:rFonts w:ascii="Arial" w:hAnsi="Arial" w:cs="Arial" w:eastAsia="Arial"/>
                    <w:b/>
                    <w:bCs/>
                    <w:color w:val="7F7F7F"/>
                    <w:spacing w:val="-1"/>
                    <w:w w:val="100"/>
                    <w:sz w:val="24"/>
                    <w:szCs w:val="24"/>
                  </w:rPr>
                  <w:t> </w:t>
                </w:r>
                <w:r>
                  <w:rPr>
                    <w:rFonts w:ascii="Arial" w:hAnsi="Arial" w:cs="Arial" w:eastAsia="Arial"/>
                    <w:b/>
                    <w:bCs/>
                    <w:color w:val="7F7F7F"/>
                    <w:spacing w:val="0"/>
                    <w:w w:val="100"/>
                    <w:sz w:val="24"/>
                    <w:szCs w:val="24"/>
                  </w:rPr>
                  <w:t>Coatings</w:t>
                </w:r>
                <w:r>
                  <w:rPr>
                    <w:rFonts w:ascii="Arial" w:hAnsi="Arial" w:cs="Arial" w:eastAsia="Arial"/>
                    <w:color w:val="000000"/>
                    <w:spacing w:val="0"/>
                    <w:w w:val="100"/>
                    <w:sz w:val="24"/>
                    <w:szCs w:val="24"/>
                  </w:rPr>
                </w:r>
              </w:p>
              <w:p>
                <w:pPr>
                  <w:spacing w:before="3" w:after="0" w:line="100" w:lineRule="exact"/>
                  <w:jc w:val="left"/>
                  <w:rPr>
                    <w:sz w:val="10"/>
                    <w:szCs w:val="10"/>
                  </w:rPr>
                </w:pPr>
                <w:r>
                  <w:rPr>
                    <w:sz w:val="10"/>
                    <w:szCs w:val="10"/>
                  </w:rPr>
                </w:r>
              </w:p>
              <w:p>
                <w:pPr>
                  <w:spacing w:before="0" w:after="0" w:line="222" w:lineRule="auto"/>
                  <w:ind w:left="20" w:right="604"/>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第</w:t>
                </w:r>
                <w:r>
                  <w:rPr>
                    <w:rFonts w:ascii="Arial Unicode MS" w:hAnsi="Arial Unicode MS" w:cs="Arial Unicode MS" w:eastAsia="Arial Unicode MS"/>
                    <w:spacing w:val="0"/>
                    <w:w w:val="100"/>
                    <w:sz w:val="14"/>
                    <w:szCs w:val="14"/>
                  </w:rPr>
                  <w:t> </w:t>
                </w:r>
                <w:r>
                  <w:rPr/>
                  <w:fldChar w:fldCharType="begin"/>
                </w:r>
                <w:r>
                  <w:rPr>
                    <w:rFonts w:ascii="Arial Unicode MS" w:hAnsi="Arial Unicode MS" w:cs="Arial Unicode MS" w:eastAsia="Arial Unicode MS"/>
                    <w:spacing w:val="0"/>
                    <w:w w:val="100"/>
                    <w:sz w:val="14"/>
                    <w:szCs w:val="14"/>
                  </w:rPr>
                  <w:instrText> PAGE </w:instrText>
                </w:r>
                <w:r>
                  <w:rPr/>
                  <w:fldChar w:fldCharType="separate"/>
                </w:r>
                <w:r>
                  <w:rPr/>
                  <w:t>1</w:t>
                </w:r>
                <w:r>
                  <w:rPr/>
                  <w:fldChar w:fldCharType="end"/>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页，共</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页</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发行日期：2009/7/7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资料来源743</w:t>
                </w:r>
              </w:p>
            </w:txbxContent>
          </v:textbox>
          <w10:wrap type="none"/>
        </v:shape>
      </w:pict>
    </w:r>
    <w:r>
      <w:rPr>
        <w:sz w:val="20"/>
        <w:szCs w:val="20"/>
      </w:rPr>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392" type="#_x0000_t75">
          <v:imagedata r:id="rId1" o:title=""/>
        </v:shape>
      </w:pict>
    </w:r>
    <w:r>
      <w:rPr/>
      <w:pict>
        <v:shapetype id="_x0000_t202" o:spt="202" coordsize="21600,21600" path="m,l,21600r21600,l21600,xe">
          <v:stroke joinstyle="miter"/>
          <v:path gradientshapeok="t" o:connecttype="rect"/>
        </v:shapetype>
        <v:shape style="position:absolute;margin-left:409.125397pt;margin-top:13.964228pt;width:154.902403pt;height:39.970127pt;mso-position-horizontal-relative:page;mso-position-vertical-relative:page;z-index:-391"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Interbond</w:t>
                </w:r>
                <w:r>
                  <w:rPr>
                    <w:rFonts w:ascii="Arial Unicode MS" w:hAnsi="Arial Unicode MS" w:cs="Arial Unicode MS" w:eastAsia="Arial Unicode MS"/>
                    <w:spacing w:val="-20"/>
                    <w:w w:val="100"/>
                    <w:position w:val="2"/>
                    <w:sz w:val="48"/>
                    <w:szCs w:val="48"/>
                  </w:rPr>
                  <w:t> </w:t>
                </w:r>
                <w:r>
                  <w:rPr>
                    <w:rFonts w:ascii="Arial Unicode MS" w:hAnsi="Arial Unicode MS" w:cs="Arial Unicode MS" w:eastAsia="Arial Unicode MS"/>
                    <w:spacing w:val="0"/>
                    <w:w w:val="100"/>
                    <w:position w:val="2"/>
                    <w:sz w:val="48"/>
                    <w:szCs w:val="48"/>
                  </w:rPr>
                  <w:t>808</w:t>
                </w:r>
                <w:r>
                  <w:rPr>
                    <w:rFonts w:ascii="Arial Unicode MS" w:hAnsi="Arial Unicode MS" w:cs="Arial Unicode MS" w:eastAsia="Arial Unicode MS"/>
                    <w:spacing w:val="0"/>
                    <w:w w:val="100"/>
                    <w:position w:val="0"/>
                    <w:sz w:val="48"/>
                    <w:szCs w:val="48"/>
                  </w:rPr>
                </w:r>
              </w:p>
              <w:p>
                <w:pPr>
                  <w:spacing w:before="0" w:after="0" w:line="262" w:lineRule="exact"/>
                  <w:ind w:left="1978"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环氧防锈漆</w:t>
                </w:r>
                <w:r>
                  <w:rPr>
                    <w:rFonts w:ascii="Arial Unicode MS" w:hAnsi="Arial Unicode MS" w:cs="Arial Unicode MS" w:eastAsia="Arial Unicode MS"/>
                    <w:spacing w:val="0"/>
                    <w:w w:val="100"/>
                    <w:position w:val="0"/>
                    <w:sz w:val="22"/>
                    <w:szCs w:val="22"/>
                  </w:rPr>
                </w:r>
              </w:p>
            </w:txbxContent>
          </v:textbox>
          <w10:wrap type="none"/>
        </v:shape>
      </w:pict>
    </w:r>
    <w:r>
      <w:rPr>
        <w:sz w:val="20"/>
        <w:szCs w:val="20"/>
      </w:rP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387" type="#_x0000_t75">
          <v:imagedata r:id="rId1" o:title=""/>
        </v:shape>
      </w:pict>
    </w:r>
    <w:r>
      <w:rPr/>
      <w:pict>
        <v:shape style="position:absolute;margin-left:409.125397pt;margin-top:13.964228pt;width:154.902403pt;height:39.970127pt;mso-position-horizontal-relative:page;mso-position-vertical-relative:page;z-index:-386"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Interbond</w:t>
                </w:r>
                <w:r>
                  <w:rPr>
                    <w:rFonts w:ascii="Arial Unicode MS" w:hAnsi="Arial Unicode MS" w:cs="Arial Unicode MS" w:eastAsia="Arial Unicode MS"/>
                    <w:spacing w:val="-20"/>
                    <w:w w:val="100"/>
                    <w:position w:val="2"/>
                    <w:sz w:val="48"/>
                    <w:szCs w:val="48"/>
                  </w:rPr>
                  <w:t> </w:t>
                </w:r>
                <w:r>
                  <w:rPr>
                    <w:rFonts w:ascii="Arial Unicode MS" w:hAnsi="Arial Unicode MS" w:cs="Arial Unicode MS" w:eastAsia="Arial Unicode MS"/>
                    <w:spacing w:val="0"/>
                    <w:w w:val="100"/>
                    <w:position w:val="2"/>
                    <w:sz w:val="48"/>
                    <w:szCs w:val="48"/>
                  </w:rPr>
                  <w:t>808</w:t>
                </w:r>
                <w:r>
                  <w:rPr>
                    <w:rFonts w:ascii="Arial Unicode MS" w:hAnsi="Arial Unicode MS" w:cs="Arial Unicode MS" w:eastAsia="Arial Unicode MS"/>
                    <w:spacing w:val="0"/>
                    <w:w w:val="100"/>
                    <w:position w:val="0"/>
                    <w:sz w:val="48"/>
                    <w:szCs w:val="48"/>
                  </w:rPr>
                </w:r>
              </w:p>
              <w:p>
                <w:pPr>
                  <w:spacing w:before="0" w:after="0" w:line="262" w:lineRule="exact"/>
                  <w:ind w:left="1978"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环氧防锈漆</w:t>
                </w:r>
                <w:r>
                  <w:rPr>
                    <w:rFonts w:ascii="Arial Unicode MS" w:hAnsi="Arial Unicode MS" w:cs="Arial Unicode MS" w:eastAsia="Arial Unicode MS"/>
                    <w:spacing w:val="0"/>
                    <w:w w:val="100"/>
                    <w:position w:val="0"/>
                    <w:sz w:val="22"/>
                    <w:szCs w:val="22"/>
                  </w:rPr>
                </w:r>
              </w:p>
            </w:txbxContent>
          </v:textbox>
          <w10:wrap type="none"/>
        </v:shape>
      </w:pict>
    </w:r>
    <w:r>
      <w:rPr>
        <w:sz w:val="20"/>
        <w:szCs w:val="20"/>
      </w:rP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0" w:type="dxa"/>
        <w:bottom w:w="0" w:type="dxa"/>
        <w:right w:w="0" w:type="dxa"/>
      </w:tblCellMar>
    </w:tblPr>
  </w:style>
  <w:style w:type="numbering" w:default="1" w:styleId="NoList">
    <w:name w:val="No List"/>
    <w:uiPriority w:val="99"/>
    <w:semiHidden/>
    <w:unhideWhenUsed/>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image" Target="media/image4.jpg"/><Relationship Id="rId9" Type="http://schemas.openxmlformats.org/officeDocument/2006/relationships/hyperlink" Target="http://www.international-marin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PdfGen</dc:creator>
  <cp:keywords>Chinese Simplified Marine Coatings Interbond 808 环氧防锈漆 Interbond 1 07/07/2009 Interbond 808 I 743 chi-s</cp:keywords>
  <dc:subject>Technical Datasheet</dc:subject>
  <dc:title>Interbond 808</dc:title>
  <dcterms:created xsi:type="dcterms:W3CDTF">2015-07-27T15:49:12Z</dcterms:created>
  <dcterms:modified xsi:type="dcterms:W3CDTF">2015-07-27T15:49:12Z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2009-07-08T00:00:00Z</vt:filetime>
  </property>
  <property fmtid="{D5CDD505-2E9C-101B-9397-08002B2CF9AE}" pid="3" name="LastSaved">
    <vt:filetime>2015-07-27T00:00:00Z</vt:filetime>
  </property>
</Properties>
</file>